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02D222C2" w14:textId="625291C7" w:rsidR="00F01FE4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83762992" w:history="1">
        <w:r w:rsidR="00F01FE4" w:rsidRPr="00FB6A17">
          <w:rPr>
            <w:rStyle w:val="Hypertextovprepojenie"/>
            <w:noProof/>
          </w:rPr>
          <w:t>1.</w:t>
        </w:r>
        <w:r w:rsidR="00F01FE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="00F01FE4" w:rsidRPr="00FB6A17">
          <w:rPr>
            <w:rStyle w:val="Hypertextovprepojenie"/>
            <w:noProof/>
          </w:rPr>
          <w:t>IDENTIFIKAČNÉ ÚDAJE STAVBY</w:t>
        </w:r>
        <w:r w:rsidR="00F01FE4">
          <w:rPr>
            <w:noProof/>
            <w:webHidden/>
          </w:rPr>
          <w:tab/>
        </w:r>
        <w:r w:rsidR="00F01FE4">
          <w:rPr>
            <w:noProof/>
            <w:webHidden/>
          </w:rPr>
          <w:fldChar w:fldCharType="begin"/>
        </w:r>
        <w:r w:rsidR="00F01FE4">
          <w:rPr>
            <w:noProof/>
            <w:webHidden/>
          </w:rPr>
          <w:instrText xml:space="preserve"> PAGEREF _Toc183762992 \h </w:instrText>
        </w:r>
        <w:r w:rsidR="00F01FE4">
          <w:rPr>
            <w:noProof/>
            <w:webHidden/>
          </w:rPr>
        </w:r>
        <w:r w:rsidR="00F01FE4">
          <w:rPr>
            <w:noProof/>
            <w:webHidden/>
          </w:rPr>
          <w:fldChar w:fldCharType="separate"/>
        </w:r>
        <w:r w:rsidR="00F01FE4">
          <w:rPr>
            <w:noProof/>
            <w:webHidden/>
          </w:rPr>
          <w:t>2</w:t>
        </w:r>
        <w:r w:rsidR="00F01FE4">
          <w:rPr>
            <w:noProof/>
            <w:webHidden/>
          </w:rPr>
          <w:fldChar w:fldCharType="end"/>
        </w:r>
      </w:hyperlink>
    </w:p>
    <w:p w14:paraId="528C0FFE" w14:textId="3FDEC1E9" w:rsidR="00F01FE4" w:rsidRDefault="00F01FE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2993" w:history="1">
        <w:r w:rsidRPr="00FB6A17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_Toc183762993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4E60DC" w14:textId="26E34AD3" w:rsidR="00F01FE4" w:rsidRDefault="00F01FE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2994" w:history="1">
        <w:r w:rsidRPr="00FB6A17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_Toc183762994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E6C3BE" w14:textId="296110CC" w:rsidR="00F01FE4" w:rsidRDefault="00F01FE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2995" w:history="1">
        <w:r w:rsidRPr="00FB6A17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_Toc183762995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F03878" w14:textId="122B5D0B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2996" w:history="1">
        <w:r w:rsidRPr="00FB6A17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_Toc183762996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B35BE3" w14:textId="30404694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2997" w:history="1">
        <w:r w:rsidRPr="00FB6A17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_Toc183762997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D8FCE4" w14:textId="34027FF7" w:rsidR="00F01FE4" w:rsidRDefault="00F01FE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2998" w:history="1">
        <w:r w:rsidRPr="00FB6A17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_Toc183762998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6A8030" w14:textId="457E8F67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2999" w:history="1">
        <w:r w:rsidRPr="00FB6A17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_Toc183762999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C45E3F" w14:textId="3F12AF2C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00" w:history="1">
        <w:r w:rsidRPr="00FB6A17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606231" w14:textId="663E0AEA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01" w:history="1">
        <w:r w:rsidRPr="00FB6A17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A3BA55" w14:textId="31F6A62D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02" w:history="1">
        <w:r w:rsidRPr="00FB6A17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30221F" w14:textId="71B3B079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03" w:history="1">
        <w:r w:rsidRPr="00FB6A17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99F7E6" w14:textId="72303E7C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04" w:history="1">
        <w:r w:rsidRPr="00FB6A17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C7F71E" w14:textId="291801C5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05" w:history="1">
        <w:r w:rsidRPr="00FB6A17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5FF517" w14:textId="1CF4A464" w:rsidR="00F01FE4" w:rsidRDefault="00F01FE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3006" w:history="1">
        <w:r w:rsidRPr="00FB6A17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4A603A" w14:textId="639DFDD6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07" w:history="1">
        <w:r w:rsidRPr="00FB6A17">
          <w:rPr>
            <w:rStyle w:val="Hypertextovprepojenie"/>
            <w:rFonts w:cs="Arial"/>
            <w:noProof/>
            <w:lang w:eastAsia="sk-SK"/>
          </w:rPr>
          <w:t xml:space="preserve">6.1 </w:t>
        </w:r>
        <w:r w:rsidRPr="00FB6A17">
          <w:rPr>
            <w:rStyle w:val="Hypertextovprepojenie"/>
            <w:noProof/>
          </w:rPr>
          <w:t>Rozvádzač RS211-1-1J/1-1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5A6811" w14:textId="0695F0EE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08" w:history="1">
        <w:r w:rsidRPr="00FB6A17">
          <w:rPr>
            <w:rStyle w:val="Hypertextovprepojenie"/>
            <w:rFonts w:cs="Arial"/>
            <w:noProof/>
            <w:lang w:eastAsia="sk-SK"/>
          </w:rPr>
          <w:t xml:space="preserve">6.2 </w:t>
        </w:r>
        <w:r w:rsidRPr="00FB6A17">
          <w:rPr>
            <w:rStyle w:val="Hypertextovprepojenie"/>
            <w:noProof/>
          </w:rPr>
          <w:t>Osvetlenie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57033C" w14:textId="55F55381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09" w:history="1">
        <w:r w:rsidRPr="00FB6A17">
          <w:rPr>
            <w:rStyle w:val="Hypertextovprepojenie"/>
            <w:noProof/>
          </w:rPr>
          <w:t>6.3 Zásuvková inštalácia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23CAF9" w14:textId="2398901A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10" w:history="1">
        <w:r w:rsidRPr="00FB6A17">
          <w:rPr>
            <w:rStyle w:val="Hypertextovprepojenie"/>
            <w:noProof/>
          </w:rPr>
          <w:t>6.4 Napojenie vykurovania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2E7271" w14:textId="7B48ED96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11" w:history="1">
        <w:r w:rsidRPr="00FB6A17">
          <w:rPr>
            <w:rStyle w:val="Hypertextovprepojenie"/>
            <w:noProof/>
          </w:rPr>
          <w:t>6.5 Káblové trasy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E95DE5" w14:textId="6CA8135E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12" w:history="1">
        <w:r w:rsidRPr="00FB6A17">
          <w:rPr>
            <w:rStyle w:val="Hypertextovprepojenie"/>
            <w:noProof/>
          </w:rPr>
          <w:t>6.6 Ochrana pred zásahom blesku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C41C58" w14:textId="04B9DAC0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13" w:history="1">
        <w:r w:rsidRPr="00FB6A17">
          <w:rPr>
            <w:rStyle w:val="Hypertextovprepojenie"/>
            <w:noProof/>
          </w:rPr>
          <w:t>6.7 Uzemnenie objektu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802313" w14:textId="5C33D418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14" w:history="1">
        <w:r w:rsidRPr="00FB6A17">
          <w:rPr>
            <w:rStyle w:val="Hypertextovprepojenie"/>
            <w:noProof/>
          </w:rPr>
          <w:t>6.8 Ochranné pospájanie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CE7834" w14:textId="0223C08F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15" w:history="1">
        <w:r w:rsidRPr="00FB6A17">
          <w:rPr>
            <w:rStyle w:val="Hypertextovprepojenie"/>
            <w:noProof/>
          </w:rPr>
          <w:t>6.9 Doplnková ochrana: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E636BB" w14:textId="28AA5A5C" w:rsidR="00F01FE4" w:rsidRDefault="00F01FE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3016" w:history="1">
        <w:r w:rsidRPr="00FB6A17">
          <w:rPr>
            <w:rStyle w:val="Hypertextovprepojenie"/>
            <w:noProof/>
          </w:rPr>
          <w:t>6.10 Odpady a ich likvidácia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CEADF4" w14:textId="5554962E" w:rsidR="00F01FE4" w:rsidRDefault="00F01FE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3017" w:history="1">
        <w:r w:rsidRPr="00FB6A17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F43398" w14:textId="52AD1F20" w:rsidR="00F01FE4" w:rsidRDefault="00F01FE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3018" w:history="1">
        <w:r w:rsidRPr="00FB6A17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6C32C5" w14:textId="528C4102" w:rsidR="00F01FE4" w:rsidRDefault="00F01FE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3019" w:history="1">
        <w:r w:rsidRPr="00FB6A17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B6A17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_Toc183763019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9591005" w14:textId="01E4A6A2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17F9C0C0" w14:textId="77777777" w:rsidR="00153AF2" w:rsidRDefault="00153AF2" w:rsidP="00F93E21"/>
    <w:p w14:paraId="19725B09" w14:textId="77777777" w:rsidR="00153AF2" w:rsidRDefault="00153AF2" w:rsidP="00F93E21"/>
    <w:p w14:paraId="462BFD15" w14:textId="77777777" w:rsidR="005222D9" w:rsidRDefault="005222D9" w:rsidP="00F93E21"/>
    <w:p w14:paraId="52D336BF" w14:textId="77777777" w:rsidR="00153AF2" w:rsidRDefault="00153AF2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83762992"/>
      <w:r w:rsidRPr="00A4341E">
        <w:rPr>
          <w:rFonts w:cs="Arial"/>
          <w:lang w:val="sk-SK"/>
        </w:rPr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3C960DE4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U.S. S</w:t>
            </w:r>
            <w:r w:rsidR="00327EAF">
              <w:rPr>
                <w:rFonts w:cs="Arial"/>
                <w:bCs/>
              </w:rPr>
              <w:t>teel</w:t>
            </w:r>
            <w:r w:rsidRPr="00A4341E">
              <w:rPr>
                <w:rFonts w:cs="Arial"/>
                <w:bCs/>
              </w:rPr>
              <w:t xml:space="preserve"> </w:t>
            </w:r>
            <w:r w:rsidR="00327EAF">
              <w:rPr>
                <w:rFonts w:cs="Arial"/>
                <w:bCs/>
              </w:rPr>
              <w:t xml:space="preserve">Košice, </w:t>
            </w:r>
            <w:proofErr w:type="spellStart"/>
            <w:r w:rsidRPr="00A4341E">
              <w:rPr>
                <w:rFonts w:cs="Arial"/>
                <w:bCs/>
              </w:rPr>
              <w:t>s.r.o</w:t>
            </w:r>
            <w:proofErr w:type="spellEnd"/>
            <w:r w:rsidRPr="00A4341E">
              <w:rPr>
                <w:rFonts w:cs="Arial"/>
                <w:bCs/>
              </w:rPr>
              <w:t>.,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76D6555C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 xml:space="preserve">PC2 – </w:t>
            </w:r>
            <w:r w:rsidR="00284C40">
              <w:t>P</w:t>
            </w:r>
            <w:r>
              <w:t>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79DF6880" w:rsidR="00D07705" w:rsidRPr="00D07705" w:rsidRDefault="006B752A" w:rsidP="00D07705">
            <w:pPr>
              <w:spacing w:before="240" w:line="276" w:lineRule="auto"/>
              <w:rPr>
                <w:rFonts w:cs="Arial"/>
                <w:b/>
              </w:rPr>
            </w:pPr>
            <w:r w:rsidRPr="006B752A">
              <w:t>SO 201 – Objekt regulácie prietoku kyslíka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718E4BBD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S</w:t>
            </w:r>
            <w:r w:rsidR="006B752A">
              <w:t>O</w:t>
            </w:r>
            <w:r w:rsidRPr="00D07705">
              <w:t xml:space="preserve"> 201</w:t>
            </w:r>
            <w:r w:rsidR="006B752A">
              <w:t>.EE</w:t>
            </w:r>
            <w:r w:rsidRPr="00D07705">
              <w:t xml:space="preserve"> – </w:t>
            </w:r>
            <w:r w:rsidR="006B752A" w:rsidRPr="006B752A">
              <w:t>Osvetlenie, uzemnenie a bleskozvod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15C0B000" w:rsidR="00311779" w:rsidRPr="00A4341E" w:rsidRDefault="00E73AA9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24326A68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327EAF" w:rsidRPr="00A4341E">
              <w:rPr>
                <w:rFonts w:cs="Arial"/>
                <w:bCs/>
              </w:rPr>
              <w:t>U.S. S</w:t>
            </w:r>
            <w:r w:rsidR="00327EAF">
              <w:rPr>
                <w:rFonts w:cs="Arial"/>
                <w:bCs/>
              </w:rPr>
              <w:t>teel</w:t>
            </w:r>
            <w:r w:rsidR="00327EAF" w:rsidRPr="00A4341E">
              <w:rPr>
                <w:rFonts w:cs="Arial"/>
                <w:bCs/>
              </w:rPr>
              <w:t xml:space="preserve"> </w:t>
            </w:r>
            <w:r w:rsidR="00327EAF">
              <w:rPr>
                <w:rFonts w:cs="Arial"/>
                <w:bCs/>
              </w:rPr>
              <w:t xml:space="preserve">Košice, </w:t>
            </w:r>
            <w:proofErr w:type="spellStart"/>
            <w:r w:rsidR="00327EAF" w:rsidRPr="00A4341E">
              <w:rPr>
                <w:rFonts w:cs="Arial"/>
                <w:bCs/>
              </w:rPr>
              <w:t>s.r.o</w:t>
            </w:r>
            <w:proofErr w:type="spellEnd"/>
            <w:r w:rsidR="00327EAF" w:rsidRPr="00A4341E">
              <w:rPr>
                <w:rFonts w:cs="Arial"/>
                <w:bCs/>
              </w:rPr>
              <w:t>.,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664038A4" w:rsidR="00311779" w:rsidRPr="00A4341E" w:rsidRDefault="00327EAF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U.S. S</w:t>
            </w:r>
            <w:r>
              <w:rPr>
                <w:rFonts w:cs="Arial"/>
                <w:bCs/>
              </w:rPr>
              <w:t>teel</w:t>
            </w:r>
            <w:r w:rsidRPr="00A4341E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Košice, </w:t>
            </w:r>
            <w:proofErr w:type="spellStart"/>
            <w:r w:rsidRPr="00A4341E">
              <w:rPr>
                <w:rFonts w:cs="Arial"/>
                <w:bCs/>
              </w:rPr>
              <w:t>s.r.o</w:t>
            </w:r>
            <w:proofErr w:type="spellEnd"/>
            <w:r w:rsidRPr="00A4341E">
              <w:rPr>
                <w:rFonts w:cs="Arial"/>
                <w:bCs/>
              </w:rPr>
              <w:t>.,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020CBA64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EN-0723.2</w:t>
            </w:r>
          </w:p>
        </w:tc>
      </w:tr>
    </w:tbl>
    <w:p w14:paraId="2ECDD042" w14:textId="77777777" w:rsidR="00311779" w:rsidRPr="00A4341E" w:rsidRDefault="00311779" w:rsidP="00311779">
      <w:pPr>
        <w:rPr>
          <w:rFonts w:cs="Arial"/>
        </w:rPr>
      </w:pPr>
    </w:p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83762993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321E59B2" w14:textId="61B7455A" w:rsidR="00311779" w:rsidRPr="00D07705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327EAF">
        <w:rPr>
          <w:rFonts w:ascii="Arial" w:hAnsi="Arial" w:cs="Arial"/>
          <w:sz w:val="22"/>
          <w:szCs w:val="22"/>
        </w:rPr>
        <w:t>P</w:t>
      </w:r>
      <w:r w:rsidR="00D07705" w:rsidRPr="00D07705">
        <w:rPr>
          <w:rFonts w:ascii="Arial" w:hAnsi="Arial" w:cs="Arial"/>
          <w:sz w:val="22"/>
          <w:szCs w:val="22"/>
        </w:rPr>
        <w:t>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E73AA9">
        <w:rPr>
          <w:rFonts w:ascii="Arial" w:hAnsi="Arial" w:cs="Arial"/>
          <w:sz w:val="22"/>
          <w:szCs w:val="22"/>
        </w:rPr>
        <w:t xml:space="preserve">je </w:t>
      </w:r>
      <w:r w:rsidR="006B752A">
        <w:rPr>
          <w:rFonts w:ascii="Arial" w:hAnsi="Arial" w:cs="Arial"/>
          <w:sz w:val="22"/>
          <w:szCs w:val="22"/>
        </w:rPr>
        <w:t>stavebná elektroinštalácia</w:t>
      </w:r>
      <w:r w:rsidR="00E73AA9">
        <w:rPr>
          <w:rFonts w:ascii="Arial" w:hAnsi="Arial" w:cs="Arial"/>
          <w:sz w:val="22"/>
          <w:szCs w:val="22"/>
        </w:rPr>
        <w:t xml:space="preserve"> </w:t>
      </w:r>
      <w:r w:rsidR="00D07705" w:rsidRPr="00D07705">
        <w:rPr>
          <w:rFonts w:ascii="Arial" w:hAnsi="Arial" w:cs="Arial"/>
          <w:sz w:val="22"/>
          <w:szCs w:val="22"/>
        </w:rPr>
        <w:t xml:space="preserve">pre </w:t>
      </w:r>
      <w:proofErr w:type="spellStart"/>
      <w:r w:rsidR="00D07705" w:rsidRPr="00D07705">
        <w:rPr>
          <w:rFonts w:ascii="Arial" w:hAnsi="Arial" w:cs="Arial"/>
          <w:sz w:val="22"/>
          <w:szCs w:val="22"/>
        </w:rPr>
        <w:t>novozr</w:t>
      </w:r>
      <w:r w:rsidR="00E73AA9">
        <w:rPr>
          <w:rFonts w:ascii="Arial" w:hAnsi="Arial" w:cs="Arial"/>
          <w:sz w:val="22"/>
          <w:szCs w:val="22"/>
        </w:rPr>
        <w:t>i</w:t>
      </w:r>
      <w:r w:rsidR="00D07705" w:rsidRPr="00D07705">
        <w:rPr>
          <w:rFonts w:ascii="Arial" w:hAnsi="Arial" w:cs="Arial"/>
          <w:sz w:val="22"/>
          <w:szCs w:val="22"/>
        </w:rPr>
        <w:t>aďovanú</w:t>
      </w:r>
      <w:proofErr w:type="spellEnd"/>
      <w:r w:rsidR="00D07705" w:rsidRPr="00D07705">
        <w:rPr>
          <w:rFonts w:ascii="Arial" w:hAnsi="Arial" w:cs="Arial"/>
          <w:sz w:val="22"/>
          <w:szCs w:val="22"/>
        </w:rPr>
        <w:t xml:space="preserve"> redukčnú stanicu</w:t>
      </w:r>
      <w:r w:rsidR="00D07705">
        <w:rPr>
          <w:rFonts w:ascii="Arial" w:hAnsi="Arial" w:cs="Arial"/>
          <w:sz w:val="22"/>
          <w:szCs w:val="22"/>
        </w:rPr>
        <w:t xml:space="preserve"> kyslíka, ktorá dodáva regulované množstvo kyslíka pre obohatenie studeného vetra pre vysoké pece VP1</w:t>
      </w:r>
      <w:r w:rsidR="00327EAF">
        <w:rPr>
          <w:rFonts w:ascii="Arial" w:hAnsi="Arial" w:cs="Arial"/>
          <w:sz w:val="22"/>
          <w:szCs w:val="22"/>
        </w:rPr>
        <w:t>,VP2,</w:t>
      </w:r>
      <w:r w:rsidR="00D07705">
        <w:rPr>
          <w:rFonts w:ascii="Arial" w:hAnsi="Arial" w:cs="Arial"/>
          <w:sz w:val="22"/>
          <w:szCs w:val="22"/>
        </w:rPr>
        <w:t xml:space="preserve"> VP3. Správcom média je DZ </w:t>
      </w:r>
      <w:r w:rsidR="00284C40">
        <w:rPr>
          <w:rFonts w:ascii="Arial" w:hAnsi="Arial" w:cs="Arial"/>
          <w:sz w:val="22"/>
          <w:szCs w:val="22"/>
        </w:rPr>
        <w:t>E</w:t>
      </w:r>
      <w:r w:rsidR="00D07705">
        <w:rPr>
          <w:rFonts w:ascii="Arial" w:hAnsi="Arial" w:cs="Arial"/>
          <w:sz w:val="22"/>
          <w:szCs w:val="22"/>
        </w:rPr>
        <w:t>nergetika</w:t>
      </w:r>
      <w:r w:rsidR="00536E6D">
        <w:rPr>
          <w:rFonts w:ascii="Arial" w:hAnsi="Arial" w:cs="Arial"/>
          <w:sz w:val="22"/>
          <w:szCs w:val="22"/>
        </w:rPr>
        <w:t xml:space="preserve">, ale riadenie pridávania kyslíka je regulované na DZ Vysoké pece. </w:t>
      </w:r>
      <w:r w:rsidR="00D07705">
        <w:rPr>
          <w:rFonts w:ascii="Arial" w:hAnsi="Arial" w:cs="Arial"/>
          <w:sz w:val="22"/>
          <w:szCs w:val="22"/>
        </w:rPr>
        <w:t xml:space="preserve"> </w:t>
      </w:r>
    </w:p>
    <w:p w14:paraId="5163E192" w14:textId="77777777" w:rsidR="00311779" w:rsidRPr="00A4341E" w:rsidRDefault="00311779" w:rsidP="00311779">
      <w:pPr>
        <w:spacing w:line="276" w:lineRule="auto"/>
        <w:rPr>
          <w:rFonts w:cs="Arial"/>
        </w:rPr>
      </w:pP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83762994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6F3D6AF8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lastRenderedPageBreak/>
        <w:t xml:space="preserve">koordinácia projektu z profesiami – technológia, stavba, </w:t>
      </w:r>
      <w:proofErr w:type="spellStart"/>
      <w:r w:rsidR="00E73AA9">
        <w:rPr>
          <w:rFonts w:cs="Arial"/>
        </w:rPr>
        <w:t>MaR</w:t>
      </w:r>
      <w:proofErr w:type="spellEnd"/>
      <w:r>
        <w:rPr>
          <w:rFonts w:cs="Arial"/>
        </w:rPr>
        <w:t xml:space="preserve">, ASRTP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použiteľná výkresová dokumentácia </w:t>
      </w:r>
      <w:proofErr w:type="spellStart"/>
      <w:r>
        <w:rPr>
          <w:rFonts w:cs="Arial"/>
        </w:rPr>
        <w:t>naväzujúcich</w:t>
      </w:r>
      <w:proofErr w:type="spellEnd"/>
      <w:r>
        <w:rPr>
          <w:rFonts w:cs="Arial"/>
        </w:rPr>
        <w:t xml:space="preserve">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1750D070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bookmarkStart w:id="6" w:name="_Toc411787454"/>
      <w:bookmarkStart w:id="7" w:name="_Toc531272102"/>
      <w:bookmarkStart w:id="8" w:name="_Toc531687616"/>
      <w:r w:rsidRPr="00284C40">
        <w:rPr>
          <w:rFonts w:cs="Arial"/>
          <w:sz w:val="22"/>
          <w:szCs w:val="22"/>
        </w:rPr>
        <w:t xml:space="preserve">STN 33 2000-1 : </w:t>
      </w:r>
      <w:r w:rsidRPr="00284C40">
        <w:rPr>
          <w:sz w:val="22"/>
          <w:szCs w:val="22"/>
        </w:rPr>
        <w:t xml:space="preserve">2009-04 </w:t>
      </w:r>
      <w:r w:rsidRPr="00284C40">
        <w:rPr>
          <w:rFonts w:cs="Arial"/>
          <w:sz w:val="22"/>
          <w:szCs w:val="22"/>
        </w:rPr>
        <w:t xml:space="preserve">-  El. </w:t>
      </w:r>
      <w:proofErr w:type="spellStart"/>
      <w:r w:rsidRPr="00284C40">
        <w:rPr>
          <w:rFonts w:cs="Arial"/>
          <w:sz w:val="22"/>
          <w:szCs w:val="22"/>
        </w:rPr>
        <w:t>inšt</w:t>
      </w:r>
      <w:proofErr w:type="spellEnd"/>
      <w:r w:rsidRPr="00284C40">
        <w:rPr>
          <w:rFonts w:cs="Arial"/>
          <w:sz w:val="22"/>
          <w:szCs w:val="22"/>
        </w:rPr>
        <w:t>. budov. Časť1: Rozsah platnosti, účel a základné princípy</w:t>
      </w:r>
    </w:p>
    <w:p w14:paraId="12590A38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sz w:val="22"/>
          <w:szCs w:val="22"/>
        </w:rPr>
        <w:t xml:space="preserve">STN IEC 6050-826 :2023 </w:t>
      </w:r>
      <w:r w:rsidRPr="00284C40">
        <w:rPr>
          <w:rFonts w:cs="Arial"/>
          <w:sz w:val="22"/>
          <w:szCs w:val="22"/>
        </w:rPr>
        <w:t>-  Medzinárodný elektrotechnický slovník. Kap. 826: Elektrické inštalácie budov.</w:t>
      </w:r>
    </w:p>
    <w:p w14:paraId="7CE9D34B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STN 33 2000-4-41 : 2019-03  El. </w:t>
      </w:r>
      <w:proofErr w:type="spellStart"/>
      <w:r w:rsidRPr="00284C40">
        <w:rPr>
          <w:rFonts w:cs="Arial"/>
          <w:sz w:val="22"/>
          <w:szCs w:val="22"/>
        </w:rPr>
        <w:t>inšt</w:t>
      </w:r>
      <w:proofErr w:type="spellEnd"/>
      <w:r w:rsidRPr="00284C40">
        <w:rPr>
          <w:rFonts w:cs="Arial"/>
          <w:sz w:val="22"/>
          <w:szCs w:val="22"/>
        </w:rPr>
        <w:t xml:space="preserve">. budov. Časť4: Zaistenie bezpečnosti.  Kap.41: Ochrana pred úrazom el. prúdom. </w:t>
      </w:r>
      <w:r w:rsidRPr="00284C40">
        <w:rPr>
          <w:rFonts w:cs="Arial"/>
          <w:sz w:val="22"/>
          <w:szCs w:val="22"/>
        </w:rPr>
        <w:tab/>
      </w:r>
    </w:p>
    <w:p w14:paraId="315BD2FE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>STN 33 2000-4-43 : 2010-12  -  Elektrické inštalácie budov. Časť 4: Zaistenie bezpečnosti. Kapitola 43: Ochrana pred nadprúdom.</w:t>
      </w:r>
    </w:p>
    <w:p w14:paraId="2ABA1FBC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STN 33 2000-4-46 : 2018-07  -  El. </w:t>
      </w:r>
      <w:proofErr w:type="spellStart"/>
      <w:r w:rsidRPr="00284C40">
        <w:rPr>
          <w:rFonts w:cs="Arial"/>
          <w:sz w:val="22"/>
          <w:szCs w:val="22"/>
        </w:rPr>
        <w:t>inšt</w:t>
      </w:r>
      <w:proofErr w:type="spellEnd"/>
      <w:r w:rsidRPr="00284C40">
        <w:rPr>
          <w:rFonts w:cs="Arial"/>
          <w:sz w:val="22"/>
          <w:szCs w:val="22"/>
        </w:rPr>
        <w:t xml:space="preserve">. budov. Časť4: Zaistenie </w:t>
      </w:r>
      <w:proofErr w:type="spellStart"/>
      <w:r w:rsidRPr="00284C40">
        <w:rPr>
          <w:rFonts w:cs="Arial"/>
          <w:sz w:val="22"/>
          <w:szCs w:val="22"/>
        </w:rPr>
        <w:t>bezp</w:t>
      </w:r>
      <w:proofErr w:type="spellEnd"/>
      <w:r w:rsidRPr="00284C40">
        <w:rPr>
          <w:rFonts w:cs="Arial"/>
          <w:sz w:val="22"/>
          <w:szCs w:val="22"/>
        </w:rPr>
        <w:t>.  Kap. 46: Bezpečné odpojenie a spínanie.</w:t>
      </w:r>
    </w:p>
    <w:p w14:paraId="41603162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STN 33 2000-4-473  -  El. predpisy. El. zariadenia. 4.časť: Bezpečnosť. Kap.47:Použitie </w:t>
      </w:r>
      <w:proofErr w:type="spellStart"/>
      <w:r w:rsidRPr="00284C40">
        <w:rPr>
          <w:rFonts w:cs="Arial"/>
          <w:sz w:val="22"/>
          <w:szCs w:val="22"/>
        </w:rPr>
        <w:t>ochr</w:t>
      </w:r>
      <w:proofErr w:type="spellEnd"/>
      <w:r w:rsidRPr="00284C40">
        <w:rPr>
          <w:rFonts w:cs="Arial"/>
          <w:sz w:val="22"/>
          <w:szCs w:val="22"/>
        </w:rPr>
        <w:t>. opatrení pre zaistenie bezpečnosti. Odd.473: Opatrenia na    ochranu proti nadprúdom.</w:t>
      </w:r>
    </w:p>
    <w:p w14:paraId="22535E63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STN 33 2000-5-51/O1 : 2014  -  El. </w:t>
      </w:r>
      <w:proofErr w:type="spellStart"/>
      <w:r w:rsidRPr="00284C40">
        <w:rPr>
          <w:rFonts w:cs="Arial"/>
          <w:sz w:val="22"/>
          <w:szCs w:val="22"/>
        </w:rPr>
        <w:t>inšt</w:t>
      </w:r>
      <w:proofErr w:type="spellEnd"/>
      <w:r w:rsidRPr="00284C40">
        <w:rPr>
          <w:rFonts w:cs="Arial"/>
          <w:sz w:val="22"/>
          <w:szCs w:val="22"/>
        </w:rPr>
        <w:t xml:space="preserve">. budov. Časť5: Výber a stavba el. </w:t>
      </w:r>
      <w:proofErr w:type="spellStart"/>
      <w:r w:rsidRPr="00284C40">
        <w:rPr>
          <w:rFonts w:cs="Arial"/>
          <w:sz w:val="22"/>
          <w:szCs w:val="22"/>
        </w:rPr>
        <w:t>zar</w:t>
      </w:r>
      <w:proofErr w:type="spellEnd"/>
      <w:r w:rsidRPr="00284C40">
        <w:rPr>
          <w:rFonts w:cs="Arial"/>
          <w:sz w:val="22"/>
          <w:szCs w:val="22"/>
        </w:rPr>
        <w:t>.  Kap.51: Spoločné pravidlá.</w:t>
      </w:r>
    </w:p>
    <w:p w14:paraId="7358B103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STN 33 2000-5-52/O1 : 2014 -  El. </w:t>
      </w:r>
      <w:proofErr w:type="spellStart"/>
      <w:r w:rsidRPr="00284C40">
        <w:rPr>
          <w:rFonts w:cs="Arial"/>
          <w:sz w:val="22"/>
          <w:szCs w:val="22"/>
        </w:rPr>
        <w:t>inšt</w:t>
      </w:r>
      <w:proofErr w:type="spellEnd"/>
      <w:r w:rsidRPr="00284C40">
        <w:rPr>
          <w:rFonts w:cs="Arial"/>
          <w:sz w:val="22"/>
          <w:szCs w:val="22"/>
        </w:rPr>
        <w:t xml:space="preserve">. budov. Časť5: Výber a stavba el. </w:t>
      </w:r>
      <w:proofErr w:type="spellStart"/>
      <w:r w:rsidRPr="00284C40">
        <w:rPr>
          <w:rFonts w:cs="Arial"/>
          <w:sz w:val="22"/>
          <w:szCs w:val="22"/>
        </w:rPr>
        <w:t>zar</w:t>
      </w:r>
      <w:proofErr w:type="spellEnd"/>
      <w:r w:rsidRPr="00284C40">
        <w:rPr>
          <w:rFonts w:cs="Arial"/>
          <w:sz w:val="22"/>
          <w:szCs w:val="22"/>
        </w:rPr>
        <w:t>.  Kap.52: Elektrické rozvody.</w:t>
      </w:r>
    </w:p>
    <w:p w14:paraId="2C8BB102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STN 33 2000-5-54 :2012-08 -  Elektrické inštalácie nízkeho napätia. Časť 5-54: Výber a stavba elektrických zariadení. Uzemňovacie sústavy, ochranné vodiče a vodiče na ochranné pospájanie.  </w:t>
      </w:r>
    </w:p>
    <w:p w14:paraId="06126961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>STN 33 2130 : 1983-2002</w:t>
      </w:r>
      <w:r w:rsidRPr="00284C40">
        <w:rPr>
          <w:rFonts w:cs="Arial"/>
          <w:sz w:val="22"/>
          <w:szCs w:val="22"/>
        </w:rPr>
        <w:tab/>
        <w:t>- El. predpisy. Vnútorné elektrické rozvody.</w:t>
      </w:r>
    </w:p>
    <w:p w14:paraId="0B6164F1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>STN 34 1610</w:t>
      </w:r>
      <w:r w:rsidRPr="00284C40">
        <w:rPr>
          <w:rFonts w:cs="Arial"/>
          <w:sz w:val="22"/>
          <w:szCs w:val="22"/>
        </w:rPr>
        <w:tab/>
      </w:r>
      <w:r w:rsidRPr="00284C40">
        <w:rPr>
          <w:rFonts w:cs="Arial"/>
          <w:sz w:val="22"/>
          <w:szCs w:val="22"/>
        </w:rPr>
        <w:tab/>
        <w:t>El. silnoprúdový rozvod v priemyselných prevádzkach.</w:t>
      </w:r>
    </w:p>
    <w:p w14:paraId="326A1598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STN EN 60439-1 : 2012-08 Nízkonapäťové rozvádzače. Časť 1: Typovo skúšané a čiastočne typovo skúšané rozvádzače. </w:t>
      </w:r>
    </w:p>
    <w:p w14:paraId="2ACB29DC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>STN EN 60529 (33 0330)  Stupne ochrany krytom.</w:t>
      </w:r>
    </w:p>
    <w:p w14:paraId="4F1194E5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STN EN 61140: </w:t>
      </w:r>
      <w:r w:rsidRPr="00284C40">
        <w:rPr>
          <w:sz w:val="22"/>
          <w:szCs w:val="22"/>
        </w:rPr>
        <w:t xml:space="preserve">2018-06 </w:t>
      </w:r>
      <w:r w:rsidRPr="00284C40">
        <w:rPr>
          <w:rFonts w:cs="Arial"/>
          <w:sz w:val="22"/>
          <w:szCs w:val="22"/>
        </w:rPr>
        <w:t>- Ochrana pred úrazom el. prúdom. Spoločné hľadiská pre inštaláciu a zariadenia.</w:t>
      </w:r>
    </w:p>
    <w:p w14:paraId="7089E2F7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 Vyhl. č.508/2009 </w:t>
      </w:r>
      <w:proofErr w:type="spellStart"/>
      <w:r w:rsidRPr="00284C40">
        <w:rPr>
          <w:rFonts w:cs="Arial"/>
          <w:sz w:val="22"/>
          <w:szCs w:val="22"/>
        </w:rPr>
        <w:t>Z.z</w:t>
      </w:r>
      <w:proofErr w:type="spellEnd"/>
      <w:r w:rsidRPr="00284C40">
        <w:rPr>
          <w:rFonts w:cs="Arial"/>
          <w:sz w:val="22"/>
          <w:szCs w:val="22"/>
        </w:rPr>
        <w:t xml:space="preserve">. v znení neskorších predpisov - Zaistenie bezpečnosti a ochrany zdravia pri práci a bezpečnosti </w:t>
      </w:r>
      <w:proofErr w:type="spellStart"/>
      <w:r w:rsidRPr="00284C40">
        <w:rPr>
          <w:rFonts w:cs="Arial"/>
          <w:sz w:val="22"/>
          <w:szCs w:val="22"/>
        </w:rPr>
        <w:t>tech.zar</w:t>
      </w:r>
      <w:proofErr w:type="spellEnd"/>
      <w:r w:rsidRPr="00284C40">
        <w:rPr>
          <w:rFonts w:cs="Arial"/>
          <w:sz w:val="22"/>
          <w:szCs w:val="22"/>
        </w:rPr>
        <w:t xml:space="preserve">. </w:t>
      </w:r>
    </w:p>
    <w:p w14:paraId="74D50C66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Vyhl. MV SR č.79/2004 </w:t>
      </w:r>
      <w:proofErr w:type="spellStart"/>
      <w:r w:rsidRPr="00284C40">
        <w:rPr>
          <w:rFonts w:cs="Arial"/>
          <w:sz w:val="22"/>
          <w:szCs w:val="22"/>
        </w:rPr>
        <w:t>Z.z</w:t>
      </w:r>
      <w:proofErr w:type="spellEnd"/>
      <w:r w:rsidRPr="00284C40">
        <w:rPr>
          <w:rFonts w:cs="Arial"/>
          <w:sz w:val="22"/>
          <w:szCs w:val="22"/>
        </w:rPr>
        <w:t xml:space="preserve">.  O vykonávaní kontroly </w:t>
      </w:r>
      <w:proofErr w:type="spellStart"/>
      <w:r w:rsidRPr="00284C40">
        <w:rPr>
          <w:rFonts w:cs="Arial"/>
          <w:sz w:val="22"/>
          <w:szCs w:val="22"/>
        </w:rPr>
        <w:t>protipož</w:t>
      </w:r>
      <w:proofErr w:type="spellEnd"/>
      <w:r w:rsidRPr="00284C40">
        <w:rPr>
          <w:rFonts w:cs="Arial"/>
          <w:sz w:val="22"/>
          <w:szCs w:val="22"/>
        </w:rPr>
        <w:t xml:space="preserve">. </w:t>
      </w:r>
      <w:proofErr w:type="spellStart"/>
      <w:r w:rsidRPr="00284C40">
        <w:rPr>
          <w:rFonts w:cs="Arial"/>
          <w:sz w:val="22"/>
          <w:szCs w:val="22"/>
        </w:rPr>
        <w:t>bezpeč</w:t>
      </w:r>
      <w:proofErr w:type="spellEnd"/>
      <w:r w:rsidRPr="00284C40">
        <w:rPr>
          <w:rFonts w:cs="Arial"/>
          <w:sz w:val="22"/>
          <w:szCs w:val="22"/>
        </w:rPr>
        <w:t xml:space="preserve">. pri </w:t>
      </w:r>
      <w:proofErr w:type="spellStart"/>
      <w:r w:rsidRPr="00284C40">
        <w:rPr>
          <w:rFonts w:cs="Arial"/>
          <w:sz w:val="22"/>
          <w:szCs w:val="22"/>
        </w:rPr>
        <w:t>prev</w:t>
      </w:r>
      <w:proofErr w:type="spellEnd"/>
      <w:r w:rsidRPr="00284C40">
        <w:rPr>
          <w:rFonts w:cs="Arial"/>
          <w:sz w:val="22"/>
          <w:szCs w:val="22"/>
        </w:rPr>
        <w:t xml:space="preserve">. el. </w:t>
      </w:r>
      <w:proofErr w:type="spellStart"/>
      <w:r w:rsidRPr="00284C40">
        <w:rPr>
          <w:rFonts w:cs="Arial"/>
          <w:sz w:val="22"/>
          <w:szCs w:val="22"/>
        </w:rPr>
        <w:t>zar</w:t>
      </w:r>
      <w:proofErr w:type="spellEnd"/>
      <w:r w:rsidRPr="00284C40">
        <w:rPr>
          <w:rFonts w:cs="Arial"/>
          <w:sz w:val="22"/>
          <w:szCs w:val="22"/>
        </w:rPr>
        <w:t>.</w:t>
      </w:r>
    </w:p>
    <w:p w14:paraId="2C4989D6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bookmarkStart w:id="9" w:name="OLE_LINK2"/>
      <w:r w:rsidRPr="00284C40">
        <w:rPr>
          <w:rFonts w:cs="Arial"/>
          <w:sz w:val="22"/>
          <w:szCs w:val="22"/>
        </w:rPr>
        <w:t xml:space="preserve">Vyhl. MV SR č.94/2004 </w:t>
      </w:r>
      <w:proofErr w:type="spellStart"/>
      <w:r w:rsidRPr="00284C40">
        <w:rPr>
          <w:rFonts w:cs="Arial"/>
          <w:sz w:val="22"/>
          <w:szCs w:val="22"/>
        </w:rPr>
        <w:t>Z.z</w:t>
      </w:r>
      <w:proofErr w:type="spellEnd"/>
      <w:r w:rsidRPr="00284C40">
        <w:rPr>
          <w:rFonts w:cs="Arial"/>
          <w:sz w:val="22"/>
          <w:szCs w:val="22"/>
        </w:rPr>
        <w:t xml:space="preserve">.  Technické požiadavky na </w:t>
      </w:r>
      <w:proofErr w:type="spellStart"/>
      <w:r w:rsidRPr="00284C40">
        <w:rPr>
          <w:rFonts w:cs="Arial"/>
          <w:sz w:val="22"/>
          <w:szCs w:val="22"/>
        </w:rPr>
        <w:t>pož</w:t>
      </w:r>
      <w:proofErr w:type="spellEnd"/>
      <w:r w:rsidRPr="00284C40">
        <w:rPr>
          <w:rFonts w:cs="Arial"/>
          <w:sz w:val="22"/>
          <w:szCs w:val="22"/>
        </w:rPr>
        <w:t>. bezpečnosť pri výstavbe a užívaní stavieb</w:t>
      </w:r>
    </w:p>
    <w:p w14:paraId="1C39960F" w14:textId="77777777" w:rsidR="00802414" w:rsidRPr="00284C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284C40">
        <w:rPr>
          <w:rFonts w:cs="Arial"/>
          <w:sz w:val="22"/>
          <w:szCs w:val="22"/>
        </w:rPr>
        <w:t xml:space="preserve">Vyhl. NR SR č.147/2013 </w:t>
      </w:r>
      <w:proofErr w:type="spellStart"/>
      <w:r w:rsidRPr="00284C40">
        <w:rPr>
          <w:rFonts w:cs="Arial"/>
          <w:sz w:val="22"/>
          <w:szCs w:val="22"/>
        </w:rPr>
        <w:t>Z.z</w:t>
      </w:r>
      <w:proofErr w:type="spellEnd"/>
      <w:r w:rsidRPr="00284C40">
        <w:rPr>
          <w:rFonts w:cs="Arial"/>
          <w:sz w:val="22"/>
          <w:szCs w:val="22"/>
        </w:rPr>
        <w:t>.</w:t>
      </w:r>
      <w:bookmarkEnd w:id="9"/>
      <w:r w:rsidRPr="00284C40">
        <w:rPr>
          <w:rFonts w:cs="Arial"/>
          <w:sz w:val="22"/>
          <w:szCs w:val="22"/>
        </w:rPr>
        <w:t xml:space="preserve">  o bezpečnosti a ochrane zdravia pri práci.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0" w:name="_Toc23318810"/>
      <w:bookmarkStart w:id="11" w:name="_Toc183762995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10"/>
      <w:bookmarkEnd w:id="11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2" w:name="_Toc411787455"/>
      <w:bookmarkStart w:id="13" w:name="_Toc531272103"/>
      <w:bookmarkStart w:id="14" w:name="_Toc531687617"/>
      <w:bookmarkStart w:id="15" w:name="_Toc23318811"/>
      <w:bookmarkStart w:id="16" w:name="_Toc183762996"/>
      <w:r w:rsidRPr="00A4341E">
        <w:rPr>
          <w:rFonts w:cs="Arial"/>
          <w:szCs w:val="22"/>
        </w:rPr>
        <w:t>PROJEKT RIEŠI</w:t>
      </w:r>
      <w:bookmarkEnd w:id="12"/>
      <w:bookmarkEnd w:id="13"/>
      <w:bookmarkEnd w:id="14"/>
      <w:bookmarkEnd w:id="15"/>
      <w:bookmarkEnd w:id="16"/>
    </w:p>
    <w:p w14:paraId="0BD8EE9B" w14:textId="77777777" w:rsidR="00802414" w:rsidRPr="00E37E2D" w:rsidRDefault="00802414" w:rsidP="00E37E2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E37E2D">
        <w:rPr>
          <w:rFonts w:ascii="Arial" w:hAnsi="Arial" w:cs="Arial"/>
          <w:sz w:val="22"/>
          <w:szCs w:val="22"/>
        </w:rPr>
        <w:t>- Prípojku pre rozvádzač RS211-1-1J/1-1</w:t>
      </w:r>
    </w:p>
    <w:p w14:paraId="1C46600A" w14:textId="77777777" w:rsidR="00802414" w:rsidRPr="00E37E2D" w:rsidRDefault="00802414" w:rsidP="00E37E2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E37E2D">
        <w:rPr>
          <w:rFonts w:ascii="Arial" w:hAnsi="Arial" w:cs="Arial"/>
          <w:sz w:val="22"/>
          <w:szCs w:val="22"/>
        </w:rPr>
        <w:t>- Rozvádzač RS211-1-1J/1-1</w:t>
      </w:r>
    </w:p>
    <w:p w14:paraId="52DF2E28" w14:textId="77777777" w:rsidR="00802414" w:rsidRPr="00E37E2D" w:rsidRDefault="00802414" w:rsidP="00E37E2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E37E2D">
        <w:rPr>
          <w:rFonts w:ascii="Arial" w:hAnsi="Arial" w:cs="Arial"/>
          <w:sz w:val="22"/>
          <w:szCs w:val="22"/>
        </w:rPr>
        <w:t>- Svetelná a zásuvková inštalácia</w:t>
      </w:r>
    </w:p>
    <w:p w14:paraId="56FA9C28" w14:textId="77777777" w:rsidR="00802414" w:rsidRPr="00E37E2D" w:rsidRDefault="00802414" w:rsidP="00E37E2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E37E2D">
        <w:rPr>
          <w:rFonts w:ascii="Arial" w:hAnsi="Arial" w:cs="Arial"/>
          <w:sz w:val="22"/>
          <w:szCs w:val="22"/>
        </w:rPr>
        <w:t>- Napojenie vykurovania</w:t>
      </w:r>
    </w:p>
    <w:p w14:paraId="67458C63" w14:textId="77777777" w:rsidR="00802414" w:rsidRPr="00E37E2D" w:rsidRDefault="00802414" w:rsidP="00E37E2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E37E2D">
        <w:rPr>
          <w:rFonts w:ascii="Arial" w:hAnsi="Arial" w:cs="Arial"/>
          <w:sz w:val="22"/>
          <w:szCs w:val="22"/>
        </w:rPr>
        <w:t>- Uzemnenie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t xml:space="preserve"> </w:t>
      </w:r>
      <w:bookmarkStart w:id="17" w:name="_Toc411787456"/>
      <w:bookmarkStart w:id="18" w:name="_Toc531272104"/>
      <w:bookmarkStart w:id="19" w:name="_Toc531687618"/>
      <w:bookmarkStart w:id="20" w:name="_Toc23318812"/>
      <w:bookmarkStart w:id="21" w:name="_Toc183762997"/>
      <w:r w:rsidRPr="00A4341E">
        <w:rPr>
          <w:rFonts w:cs="Arial"/>
          <w:szCs w:val="22"/>
        </w:rPr>
        <w:t>PROJEKT NERIEŠI</w:t>
      </w:r>
      <w:bookmarkEnd w:id="17"/>
      <w:bookmarkEnd w:id="18"/>
      <w:bookmarkEnd w:id="19"/>
      <w:bookmarkEnd w:id="20"/>
      <w:bookmarkEnd w:id="21"/>
    </w:p>
    <w:p w14:paraId="74D8DB73" w14:textId="208F743A" w:rsidR="00311779" w:rsidRPr="00E37E2D" w:rsidRDefault="00802414" w:rsidP="00E37E2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E37E2D">
        <w:rPr>
          <w:rFonts w:ascii="Arial" w:hAnsi="Arial" w:cs="Arial"/>
          <w:sz w:val="22"/>
          <w:szCs w:val="22"/>
        </w:rPr>
        <w:t>- R</w:t>
      </w:r>
      <w:r w:rsidR="00E73AA9" w:rsidRPr="00E37E2D">
        <w:rPr>
          <w:rFonts w:ascii="Arial" w:hAnsi="Arial" w:cs="Arial"/>
          <w:sz w:val="22"/>
          <w:szCs w:val="22"/>
        </w:rPr>
        <w:t xml:space="preserve">ozvádzač </w:t>
      </w:r>
      <w:r w:rsidRPr="00E37E2D">
        <w:rPr>
          <w:rFonts w:ascii="Arial" w:hAnsi="Arial" w:cs="Arial"/>
          <w:sz w:val="22"/>
          <w:szCs w:val="22"/>
        </w:rPr>
        <w:t>RS211-1-1J/1</w:t>
      </w:r>
      <w:r w:rsidR="00E73AA9" w:rsidRPr="00E37E2D">
        <w:rPr>
          <w:rFonts w:ascii="Arial" w:hAnsi="Arial" w:cs="Arial"/>
          <w:sz w:val="22"/>
          <w:szCs w:val="22"/>
        </w:rPr>
        <w:t>– jestvujúci;</w:t>
      </w:r>
    </w:p>
    <w:p w14:paraId="3E67C283" w14:textId="4929BA1B" w:rsidR="00311779" w:rsidRPr="00E37E2D" w:rsidRDefault="00802414" w:rsidP="00E37E2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E37E2D">
        <w:rPr>
          <w:rFonts w:ascii="Arial" w:hAnsi="Arial" w:cs="Arial"/>
          <w:sz w:val="22"/>
          <w:szCs w:val="22"/>
        </w:rPr>
        <w:lastRenderedPageBreak/>
        <w:t>- N</w:t>
      </w:r>
      <w:r w:rsidR="00E73AA9" w:rsidRPr="00E37E2D">
        <w:rPr>
          <w:rFonts w:ascii="Arial" w:hAnsi="Arial" w:cs="Arial"/>
          <w:sz w:val="22"/>
          <w:szCs w:val="22"/>
        </w:rPr>
        <w:t>osné časti prípojkového kábla – zväčša jestvujúce;</w:t>
      </w:r>
    </w:p>
    <w:p w14:paraId="73D4573A" w14:textId="77777777" w:rsidR="00802414" w:rsidRPr="00E37E2D" w:rsidRDefault="00802414" w:rsidP="00E37E2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E37E2D">
        <w:rPr>
          <w:rFonts w:ascii="Arial" w:hAnsi="Arial" w:cs="Arial"/>
          <w:sz w:val="22"/>
          <w:szCs w:val="22"/>
        </w:rPr>
        <w:t>- Meranie a reguláciu - predmet ČPS 201.5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2" w:name="_Toc23318813"/>
      <w:bookmarkStart w:id="23" w:name="_Toc183762998"/>
      <w:r w:rsidRPr="00A4341E">
        <w:rPr>
          <w:rFonts w:cs="Arial"/>
          <w:lang w:val="sk-SK"/>
        </w:rPr>
        <w:t>ZÁKLADNÉ TECHNICKÉ ÚDAJE</w:t>
      </w:r>
      <w:bookmarkEnd w:id="22"/>
      <w:bookmarkEnd w:id="23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4" w:name="_Toc361395032"/>
      <w:bookmarkStart w:id="25" w:name="_Toc390405809"/>
      <w:bookmarkStart w:id="26" w:name="_Toc411787458"/>
      <w:bookmarkStart w:id="27" w:name="_Toc531272107"/>
      <w:bookmarkStart w:id="28" w:name="_Toc531687621"/>
      <w:bookmarkStart w:id="29" w:name="_Toc23318814"/>
      <w:bookmarkStart w:id="30" w:name="_Toc183762999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1" w:name="_Toc361395033"/>
      <w:bookmarkStart w:id="32" w:name="_Toc390405810"/>
      <w:bookmarkStart w:id="33" w:name="_Toc411787459"/>
      <w:bookmarkStart w:id="34" w:name="_Toc531272108"/>
      <w:bookmarkStart w:id="35" w:name="_Toc531687622"/>
      <w:bookmarkStart w:id="36" w:name="_Toc23318815"/>
      <w:bookmarkStart w:id="37" w:name="_Toc183763000"/>
      <w:r w:rsidRPr="00A4341E">
        <w:rPr>
          <w:rFonts w:cs="Arial"/>
          <w:szCs w:val="22"/>
          <w:lang w:eastAsia="sk-SK"/>
        </w:rPr>
        <w:t>5.2 ROZVODNÉ SIETE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72EF2E83" w14:textId="53622927" w:rsidR="00E73AA9" w:rsidRDefault="00E73AA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3/N</w:t>
      </w:r>
      <w:r w:rsidR="00802414">
        <w:rPr>
          <w:rFonts w:ascii="Arial" w:hAnsi="Arial" w:cs="Arial"/>
          <w:sz w:val="22"/>
          <w:szCs w:val="22"/>
          <w:lang w:eastAsia="sk-SK"/>
        </w:rPr>
        <w:t>/PE</w:t>
      </w:r>
      <w:r>
        <w:rPr>
          <w:rFonts w:ascii="Arial" w:hAnsi="Arial" w:cs="Arial"/>
          <w:sz w:val="22"/>
          <w:szCs w:val="22"/>
          <w:lang w:eastAsia="sk-SK"/>
        </w:rPr>
        <w:t xml:space="preserve"> AC 230/400V, 50Hz, TN-S – istený vývod v NN rozvádzači </w:t>
      </w:r>
    </w:p>
    <w:p w14:paraId="67387C3C" w14:textId="74B31D1B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– </w:t>
      </w:r>
      <w:r w:rsidR="00917427">
        <w:rPr>
          <w:rFonts w:ascii="Arial" w:hAnsi="Arial" w:cs="Arial"/>
          <w:sz w:val="22"/>
          <w:szCs w:val="22"/>
          <w:lang w:eastAsia="sk-SK"/>
        </w:rPr>
        <w:t>vývody pre spotrebiče</w:t>
      </w:r>
    </w:p>
    <w:p w14:paraId="3DFBA843" w14:textId="77777777" w:rsidR="00311779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38" w:name="_Toc217269043"/>
      <w:bookmarkStart w:id="39" w:name="_Toc361395034"/>
      <w:bookmarkStart w:id="40" w:name="_Toc390405811"/>
      <w:bookmarkStart w:id="41" w:name="_Toc411787460"/>
      <w:bookmarkStart w:id="42" w:name="_Toc531272109"/>
      <w:bookmarkStart w:id="43" w:name="_Toc531687623"/>
      <w:bookmarkStart w:id="44" w:name="_Toc23318816"/>
    </w:p>
    <w:p w14:paraId="7A72EFC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5" w:name="_Toc183763001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0DEB9237" w14:textId="65919BA9" w:rsidR="00E73AA9" w:rsidRDefault="00E73AA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doplnková ochrana prúdovým chráničom čl. 415.1</w:t>
      </w:r>
    </w:p>
    <w:p w14:paraId="14CD5435" w14:textId="67ED192C" w:rsidR="00AF3E66" w:rsidRPr="008D5C48" w:rsidRDefault="00AF3E66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doplnkovým ochranným pospájaním čl.:</w:t>
      </w:r>
      <w:r w:rsidRPr="00AF3E66">
        <w:rPr>
          <w:rFonts w:ascii="Arial" w:hAnsi="Arial" w:cs="Arial"/>
        </w:rPr>
        <w:t xml:space="preserve"> 415.2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6" w:name="_Toc411787461"/>
      <w:bookmarkStart w:id="47" w:name="_Toc531272110"/>
      <w:bookmarkStart w:id="48" w:name="_Toc531687624"/>
      <w:bookmarkStart w:id="49" w:name="_Toc23318817"/>
      <w:bookmarkStart w:id="50" w:name="_Toc183763002"/>
      <w:r w:rsidRPr="00511AFF">
        <w:rPr>
          <w:rFonts w:cs="Arial"/>
          <w:szCs w:val="22"/>
          <w:lang w:eastAsia="sk-SK"/>
        </w:rPr>
        <w:t>5.4 OCHRANA  PROTI  PREŤAŽENIU A SKRATU</w:t>
      </w:r>
      <w:bookmarkEnd w:id="46"/>
      <w:bookmarkEnd w:id="47"/>
      <w:bookmarkEnd w:id="48"/>
      <w:bookmarkEnd w:id="49"/>
      <w:bookmarkEnd w:id="50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1" w:name="_Toc411787463"/>
      <w:bookmarkStart w:id="52" w:name="_Toc531272112"/>
      <w:bookmarkStart w:id="53" w:name="_Toc531687625"/>
      <w:bookmarkStart w:id="54" w:name="_Toc23318818"/>
      <w:bookmarkStart w:id="55" w:name="_Toc183763003"/>
      <w:r w:rsidRPr="00A4341E">
        <w:rPr>
          <w:rFonts w:cs="Arial"/>
          <w:szCs w:val="22"/>
          <w:lang w:eastAsia="sk-SK"/>
        </w:rPr>
        <w:t>5.5 STUPEŇ  DODÁVKY  EL. ENERGIE</w:t>
      </w:r>
      <w:bookmarkEnd w:id="51"/>
      <w:bookmarkEnd w:id="52"/>
      <w:bookmarkEnd w:id="53"/>
      <w:bookmarkEnd w:id="54"/>
      <w:bookmarkEnd w:id="55"/>
    </w:p>
    <w:p w14:paraId="5E23C576" w14:textId="3D322FC7" w:rsidR="00311779" w:rsidRDefault="0031177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7AF1D8FA" w14:textId="77777777" w:rsidR="00E73AA9" w:rsidRPr="00AF3E66" w:rsidRDefault="00E73AA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</w:p>
    <w:p w14:paraId="1D5B3A9A" w14:textId="6E2BC16A" w:rsidR="00311779" w:rsidRPr="00A4341E" w:rsidRDefault="00311779" w:rsidP="00311779">
      <w:pPr>
        <w:pStyle w:val="ODSTAVEC2"/>
        <w:numPr>
          <w:ilvl w:val="0"/>
          <w:numId w:val="15"/>
        </w:numPr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2. st</w:t>
      </w:r>
      <w:r>
        <w:rPr>
          <w:rFonts w:ascii="Arial" w:hAnsi="Arial" w:cs="Arial"/>
          <w:noProof w:val="0"/>
          <w:sz w:val="22"/>
          <w:szCs w:val="22"/>
        </w:rPr>
        <w:t xml:space="preserve">upeň – silové napájanie </w:t>
      </w:r>
      <w:r w:rsidR="00AF3E66">
        <w:rPr>
          <w:rFonts w:ascii="Arial" w:hAnsi="Arial" w:cs="Arial"/>
          <w:noProof w:val="0"/>
          <w:sz w:val="22"/>
          <w:szCs w:val="22"/>
        </w:rPr>
        <w:t>230/</w:t>
      </w:r>
      <w:r>
        <w:rPr>
          <w:rFonts w:ascii="Arial" w:hAnsi="Arial" w:cs="Arial"/>
          <w:noProof w:val="0"/>
          <w:sz w:val="22"/>
          <w:szCs w:val="22"/>
        </w:rPr>
        <w:t>400V – z</w:t>
      </w:r>
      <w:r w:rsidRPr="00A4341E">
        <w:rPr>
          <w:rFonts w:ascii="Arial" w:hAnsi="Arial" w:cs="Arial"/>
          <w:noProof w:val="0"/>
          <w:sz w:val="22"/>
          <w:szCs w:val="22"/>
        </w:rPr>
        <w:t> dvoch nezávislých prívodov na strane VN</w:t>
      </w:r>
    </w:p>
    <w:p w14:paraId="4FE3EDA7" w14:textId="77777777" w:rsidR="00311779" w:rsidRDefault="00311779" w:rsidP="00311779">
      <w:pPr>
        <w:rPr>
          <w:rFonts w:cs="Arial"/>
        </w:rPr>
      </w:pPr>
    </w:p>
    <w:p w14:paraId="7620F2FC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183763004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6"/>
    </w:p>
    <w:p w14:paraId="42DC308A" w14:textId="1BC2402B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E73AA9">
        <w:rPr>
          <w:rFonts w:ascii="Arial" w:hAnsi="Arial" w:cs="Arial"/>
          <w:noProof w:val="0"/>
          <w:sz w:val="22"/>
          <w:szCs w:val="22"/>
        </w:rPr>
        <w:t xml:space="preserve">Pi = </w:t>
      </w:r>
      <w:r w:rsidR="00917427">
        <w:rPr>
          <w:rFonts w:ascii="Arial" w:hAnsi="Arial" w:cs="Arial"/>
          <w:noProof w:val="0"/>
          <w:sz w:val="22"/>
          <w:szCs w:val="22"/>
        </w:rPr>
        <w:t>cca 40</w:t>
      </w:r>
      <w:r w:rsidR="00E73AA9">
        <w:rPr>
          <w:rFonts w:ascii="Arial" w:hAnsi="Arial" w:cs="Arial"/>
          <w:noProof w:val="0"/>
          <w:sz w:val="22"/>
          <w:szCs w:val="22"/>
        </w:rPr>
        <w:t xml:space="preserve">kW, Ps = </w:t>
      </w:r>
      <w:r w:rsidR="00917427">
        <w:rPr>
          <w:rFonts w:ascii="Arial" w:hAnsi="Arial" w:cs="Arial"/>
          <w:noProof w:val="0"/>
          <w:sz w:val="22"/>
          <w:szCs w:val="22"/>
        </w:rPr>
        <w:t>1</w:t>
      </w:r>
      <w:r w:rsidR="00E73AA9">
        <w:rPr>
          <w:rFonts w:ascii="Arial" w:hAnsi="Arial" w:cs="Arial"/>
          <w:noProof w:val="0"/>
          <w:sz w:val="22"/>
          <w:szCs w:val="22"/>
        </w:rPr>
        <w:t>kW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7" w:name="_Toc361395039"/>
      <w:bookmarkStart w:id="58" w:name="_Toc390405813"/>
      <w:bookmarkStart w:id="59" w:name="_Toc411787464"/>
      <w:bookmarkStart w:id="60" w:name="_Toc531272113"/>
      <w:bookmarkStart w:id="61" w:name="_Toc531687626"/>
      <w:bookmarkStart w:id="62" w:name="_Toc23318819"/>
      <w:bookmarkStart w:id="63" w:name="_Toc183763005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7"/>
      <w:bookmarkEnd w:id="58"/>
      <w:r w:rsidRPr="00A4341E">
        <w:rPr>
          <w:rFonts w:cs="Arial"/>
          <w:szCs w:val="22"/>
          <w:lang w:eastAsia="sk-SK"/>
        </w:rPr>
        <w:t xml:space="preserve"> – VONKAJŠIE VPLYVY</w:t>
      </w:r>
      <w:bookmarkEnd w:id="59"/>
      <w:bookmarkEnd w:id="60"/>
      <w:bookmarkEnd w:id="61"/>
      <w:bookmarkEnd w:id="62"/>
      <w:bookmarkEnd w:id="63"/>
    </w:p>
    <w:p w14:paraId="49BC48CB" w14:textId="6FE00007" w:rsidR="00311779" w:rsidRPr="00E37E2D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Vonkajšie vplyvy sú určené v zmysle „Protokolu o určení vonkajších vplyvov“ </w:t>
      </w:r>
      <w:r w:rsidR="009B1B08" w:rsidRPr="00E37E2D">
        <w:rPr>
          <w:rFonts w:ascii="Arial" w:hAnsi="Arial" w:cs="Arial"/>
          <w:sz w:val="22"/>
          <w:szCs w:val="22"/>
          <w:lang w:eastAsia="sk-SK"/>
        </w:rPr>
        <w:t xml:space="preserve">arch. č. </w:t>
      </w:r>
      <w:bookmarkStart w:id="64" w:name="_Hlk172127182"/>
      <w:r w:rsidR="00917427" w:rsidRPr="00E37E2D">
        <w:rPr>
          <w:rFonts w:ascii="Arial" w:hAnsi="Arial" w:cs="Arial"/>
          <w:sz w:val="22"/>
          <w:szCs w:val="22"/>
          <w:lang w:eastAsia="sk-SK"/>
        </w:rPr>
        <w:t>EN-723.3.B3.PRO</w:t>
      </w:r>
      <w:bookmarkEnd w:id="64"/>
      <w:r w:rsidRPr="00E37E2D">
        <w:rPr>
          <w:rFonts w:ascii="Arial" w:hAnsi="Arial" w:cs="Arial"/>
          <w:sz w:val="22"/>
          <w:szCs w:val="22"/>
          <w:lang w:eastAsia="sk-SK"/>
        </w:rPr>
        <w:t xml:space="preserve"> </w:t>
      </w:r>
      <w:r w:rsidR="009B1B08" w:rsidRPr="00E37E2D">
        <w:rPr>
          <w:rFonts w:ascii="Arial" w:hAnsi="Arial" w:cs="Arial"/>
          <w:sz w:val="22"/>
          <w:szCs w:val="22"/>
          <w:lang w:eastAsia="sk-SK"/>
        </w:rPr>
        <w:t>doloženého v dokladovej časti DSP</w:t>
      </w:r>
      <w:r w:rsidR="006C49AE">
        <w:rPr>
          <w:rFonts w:ascii="Arial" w:hAnsi="Arial" w:cs="Arial"/>
          <w:sz w:val="22"/>
          <w:szCs w:val="22"/>
          <w:lang w:eastAsia="sk-SK"/>
        </w:rPr>
        <w:t>.</w:t>
      </w:r>
    </w:p>
    <w:p w14:paraId="7CAA84F1" w14:textId="77777777" w:rsidR="009B1B08" w:rsidRDefault="009B1B08" w:rsidP="00E73AA9">
      <w:pPr>
        <w:pStyle w:val="Zkladntext"/>
        <w:spacing w:line="240" w:lineRule="auto"/>
        <w:ind w:firstLine="0"/>
      </w:pPr>
    </w:p>
    <w:p w14:paraId="183F2D76" w14:textId="77777777" w:rsidR="00311779" w:rsidRPr="006F3C1C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5" w:name="_Toc183763006"/>
      <w:r w:rsidRPr="006F3C1C">
        <w:rPr>
          <w:rFonts w:cs="Arial"/>
          <w:lang w:val="sk-SK"/>
        </w:rPr>
        <w:lastRenderedPageBreak/>
        <w:t>POPIS RIEŠENIA</w:t>
      </w:r>
      <w:bookmarkEnd w:id="65"/>
    </w:p>
    <w:p w14:paraId="21C20B68" w14:textId="748D933D" w:rsidR="00952CAA" w:rsidRPr="00441FAE" w:rsidRDefault="00952CAA" w:rsidP="00952CAA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6" w:name="_Toc183763007"/>
      <w:r>
        <w:rPr>
          <w:rFonts w:cs="Arial"/>
          <w:szCs w:val="22"/>
          <w:lang w:eastAsia="sk-SK"/>
        </w:rPr>
        <w:t>6</w:t>
      </w:r>
      <w:r w:rsidRPr="00441FAE">
        <w:rPr>
          <w:rFonts w:cs="Arial"/>
          <w:szCs w:val="22"/>
          <w:lang w:eastAsia="sk-SK"/>
        </w:rPr>
        <w:t xml:space="preserve">.1 </w:t>
      </w:r>
      <w:r w:rsidR="00917427" w:rsidRPr="004A12F5">
        <w:t xml:space="preserve">Rozvádzač </w:t>
      </w:r>
      <w:r w:rsidR="00917427">
        <w:rPr>
          <w:szCs w:val="22"/>
        </w:rPr>
        <w:t>RS211-1-1J/1-1</w:t>
      </w:r>
      <w:bookmarkEnd w:id="66"/>
      <w:r>
        <w:rPr>
          <w:rFonts w:cs="Arial"/>
          <w:szCs w:val="22"/>
          <w:lang w:eastAsia="sk-SK"/>
        </w:rPr>
        <w:t xml:space="preserve"> </w:t>
      </w:r>
    </w:p>
    <w:p w14:paraId="178F63C9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Rozvádzač bude napojený káblom o priereze 10mm2 z rozvodne KS VP1.</w:t>
      </w:r>
    </w:p>
    <w:p w14:paraId="72F3C4B2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Svetelný rozvádzač objektu sa navrhuje nástenný o rozmeroch 600x600x250mm (v x š x h). Prívod a vývody budú vrchom.</w:t>
      </w:r>
    </w:p>
    <w:p w14:paraId="0CCDE717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Jednotlivé vývody z rozvádzača budú istené ističmi príslušnej prúdovej hodnoty a charakteristiky.</w:t>
      </w:r>
    </w:p>
    <w:p w14:paraId="52270BBC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Z tohto rozvádzača bude napájaná stavebná elektroinštalácia objektu.</w:t>
      </w:r>
    </w:p>
    <w:p w14:paraId="3EFA15D8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Rozvádzač bude obsahovať jeden vypínací prvok hlavný istič 40A, ktorým bude možné vypnúť el. prúd. Prívodné káble a všetky vývody z rozvádzačov musia byť označené označovacími štítkami s informáciou o čísle obvodu, druhu kábla a smerovaní.</w:t>
      </w:r>
    </w:p>
    <w:p w14:paraId="1B24E48D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Pred rozvádzačom musí počas celej jeho prevádzky ostať zachovaný voľný priestor do vzdialenosti min. 800mm.</w:t>
      </w:r>
    </w:p>
    <w:p w14:paraId="2E4420C1" w14:textId="1F9DAB92" w:rsidR="00BA2891" w:rsidRPr="00441FAE" w:rsidRDefault="00BA2891" w:rsidP="00BA2891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7" w:name="_Toc183763008"/>
      <w:r>
        <w:rPr>
          <w:rFonts w:cs="Arial"/>
          <w:szCs w:val="22"/>
          <w:lang w:eastAsia="sk-SK"/>
        </w:rPr>
        <w:t>6</w:t>
      </w:r>
      <w:r w:rsidRPr="00441FAE">
        <w:rPr>
          <w:rFonts w:cs="Arial"/>
          <w:szCs w:val="22"/>
          <w:lang w:eastAsia="sk-SK"/>
        </w:rPr>
        <w:t>.</w:t>
      </w:r>
      <w:r>
        <w:rPr>
          <w:rFonts w:cs="Arial"/>
          <w:szCs w:val="22"/>
          <w:lang w:eastAsia="sk-SK"/>
        </w:rPr>
        <w:t>2</w:t>
      </w:r>
      <w:r w:rsidRPr="00441FAE">
        <w:rPr>
          <w:rFonts w:cs="Arial"/>
          <w:szCs w:val="22"/>
          <w:lang w:eastAsia="sk-SK"/>
        </w:rPr>
        <w:t xml:space="preserve"> </w:t>
      </w:r>
      <w:r w:rsidR="00917427" w:rsidRPr="004A12F5">
        <w:t>Osvetlenie</w:t>
      </w:r>
      <w:bookmarkEnd w:id="67"/>
    </w:p>
    <w:p w14:paraId="36F03CB7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Pre osvetlenie objektu budú použité LED svietidlá 2x22W s vyšším krytím.  Ovládanie osvetlenia bude vypínačmi pri dverách. Intenzita osvetlenie bola navrhovaná na 300lx.</w:t>
      </w:r>
    </w:p>
    <w:p w14:paraId="3955FE50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V objekte nad dverami bude inštalované núdzové svietidlo pre netrvalé osvetlenie s vlastnou batériou a autonómiou  1 hodina.</w:t>
      </w:r>
    </w:p>
    <w:p w14:paraId="56D2C1BF" w14:textId="77777777" w:rsidR="0020189D" w:rsidRPr="00917427" w:rsidRDefault="0020189D" w:rsidP="00917427">
      <w:pPr>
        <w:ind w:firstLine="432"/>
        <w:rPr>
          <w:szCs w:val="22"/>
        </w:rPr>
      </w:pPr>
    </w:p>
    <w:p w14:paraId="6290C41E" w14:textId="5215D03F" w:rsidR="00917427" w:rsidRPr="00E37E2D" w:rsidRDefault="00917427" w:rsidP="00E37E2D">
      <w:pPr>
        <w:pStyle w:val="Nadpis2"/>
        <w:tabs>
          <w:tab w:val="clear" w:pos="576"/>
          <w:tab w:val="num" w:pos="1440"/>
        </w:tabs>
        <w:spacing w:before="0"/>
      </w:pPr>
      <w:bookmarkStart w:id="68" w:name="_Toc413239658"/>
      <w:bookmarkStart w:id="69" w:name="_Toc501538066"/>
      <w:bookmarkStart w:id="70" w:name="_Toc172130665"/>
      <w:bookmarkStart w:id="71" w:name="_Toc183763009"/>
      <w:r w:rsidRPr="00917427">
        <w:t>6.3</w:t>
      </w:r>
      <w:r w:rsidR="00E37E2D">
        <w:t xml:space="preserve"> </w:t>
      </w:r>
      <w:r w:rsidRPr="00917427">
        <w:t>Zásuvková inštalácia</w:t>
      </w:r>
      <w:bookmarkEnd w:id="68"/>
      <w:bookmarkEnd w:id="69"/>
      <w:bookmarkEnd w:id="70"/>
      <w:bookmarkEnd w:id="71"/>
    </w:p>
    <w:p w14:paraId="05345134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V rozvodni objektu bude inštalovaná </w:t>
      </w:r>
      <w:proofErr w:type="spellStart"/>
      <w:r w:rsidRPr="00E37E2D">
        <w:rPr>
          <w:rFonts w:ascii="Arial" w:hAnsi="Arial" w:cs="Arial"/>
          <w:sz w:val="22"/>
          <w:szCs w:val="22"/>
          <w:lang w:eastAsia="sk-SK"/>
        </w:rPr>
        <w:t>dvojzásuvka</w:t>
      </w:r>
      <w:proofErr w:type="spellEnd"/>
      <w:r w:rsidRPr="00E37E2D">
        <w:rPr>
          <w:rFonts w:ascii="Arial" w:hAnsi="Arial" w:cs="Arial"/>
          <w:sz w:val="22"/>
          <w:szCs w:val="22"/>
          <w:lang w:eastAsia="sk-SK"/>
        </w:rPr>
        <w:t xml:space="preserve"> 230V, 16A pre servisné účely a vyhrievacie teleso, v regulačnej stanici bude zásuvková skriňa 230V/16A, 400V/16A, 400V/32A, 24V/10A .</w:t>
      </w:r>
    </w:p>
    <w:p w14:paraId="431BFB7A" w14:textId="77777777" w:rsidR="00917427" w:rsidRPr="00917427" w:rsidRDefault="00917427" w:rsidP="00917427">
      <w:pPr>
        <w:ind w:left="566" w:hanging="283"/>
        <w:rPr>
          <w:rFonts w:ascii="Arial" w:hAnsi="Arial"/>
          <w:sz w:val="20"/>
          <w:szCs w:val="20"/>
        </w:rPr>
      </w:pPr>
    </w:p>
    <w:p w14:paraId="238B4B04" w14:textId="4244CE7F" w:rsidR="00917427" w:rsidRPr="00E37E2D" w:rsidRDefault="00917427" w:rsidP="00E37E2D">
      <w:pPr>
        <w:pStyle w:val="Nadpis2"/>
        <w:tabs>
          <w:tab w:val="clear" w:pos="576"/>
          <w:tab w:val="num" w:pos="1440"/>
        </w:tabs>
        <w:spacing w:before="0"/>
      </w:pPr>
      <w:bookmarkStart w:id="72" w:name="_Toc501538067"/>
      <w:bookmarkStart w:id="73" w:name="_Toc172130666"/>
      <w:bookmarkStart w:id="74" w:name="_Toc183763010"/>
      <w:r w:rsidRPr="00917427">
        <w:t>6.4</w:t>
      </w:r>
      <w:r w:rsidR="00E37E2D">
        <w:t xml:space="preserve"> </w:t>
      </w:r>
      <w:r w:rsidRPr="00917427">
        <w:t>Napojenie vykurovania</w:t>
      </w:r>
      <w:bookmarkEnd w:id="72"/>
      <w:bookmarkEnd w:id="73"/>
      <w:bookmarkEnd w:id="74"/>
    </w:p>
    <w:p w14:paraId="212BA008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Vykurovanie rozvodne objektu bude zabezpečené jedným elektrickým 1,5kW </w:t>
      </w:r>
      <w:proofErr w:type="spellStart"/>
      <w:r w:rsidRPr="00E37E2D">
        <w:rPr>
          <w:rFonts w:ascii="Arial" w:hAnsi="Arial" w:cs="Arial"/>
          <w:sz w:val="22"/>
          <w:szCs w:val="22"/>
          <w:lang w:eastAsia="sk-SK"/>
        </w:rPr>
        <w:t>konvektorom</w:t>
      </w:r>
      <w:proofErr w:type="spellEnd"/>
      <w:r w:rsidRPr="00E37E2D">
        <w:rPr>
          <w:rFonts w:ascii="Arial" w:hAnsi="Arial" w:cs="Arial"/>
          <w:sz w:val="22"/>
          <w:szCs w:val="22"/>
          <w:lang w:eastAsia="sk-SK"/>
        </w:rPr>
        <w:t xml:space="preserve"> s vlastným termostatom. Vykurovacie teleso bude napojené zo zásuvky pre neho určenej zo samostatného vývodu.</w:t>
      </w:r>
    </w:p>
    <w:p w14:paraId="21A728C7" w14:textId="77777777" w:rsidR="00917427" w:rsidRPr="00917427" w:rsidRDefault="00917427" w:rsidP="00917427">
      <w:pPr>
        <w:ind w:left="566" w:hanging="283"/>
        <w:rPr>
          <w:rFonts w:ascii="Arial" w:hAnsi="Arial"/>
          <w:sz w:val="20"/>
          <w:szCs w:val="20"/>
        </w:rPr>
      </w:pPr>
    </w:p>
    <w:p w14:paraId="24D413EA" w14:textId="2767C2BA" w:rsidR="00917427" w:rsidRPr="00E37E2D" w:rsidRDefault="00917427" w:rsidP="00E37E2D">
      <w:pPr>
        <w:pStyle w:val="Nadpis2"/>
        <w:tabs>
          <w:tab w:val="clear" w:pos="576"/>
          <w:tab w:val="num" w:pos="1440"/>
        </w:tabs>
        <w:spacing w:before="0"/>
      </w:pPr>
      <w:bookmarkStart w:id="75" w:name="_Toc413216581"/>
      <w:bookmarkStart w:id="76" w:name="_Toc413217632"/>
      <w:bookmarkStart w:id="77" w:name="_Toc501538068"/>
      <w:bookmarkStart w:id="78" w:name="_Toc172130667"/>
      <w:bookmarkStart w:id="79" w:name="_Toc183763011"/>
      <w:r w:rsidRPr="00917427">
        <w:t>6.5</w:t>
      </w:r>
      <w:r w:rsidR="00E37E2D">
        <w:t xml:space="preserve"> </w:t>
      </w:r>
      <w:r w:rsidRPr="00917427">
        <w:t>Káblové trasy</w:t>
      </w:r>
      <w:bookmarkEnd w:id="75"/>
      <w:bookmarkEnd w:id="76"/>
      <w:bookmarkEnd w:id="77"/>
      <w:bookmarkEnd w:id="78"/>
      <w:bookmarkEnd w:id="79"/>
    </w:p>
    <w:p w14:paraId="4006B896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Prívodný kábel pre rozvádzač RS211-1-1J/1-1  je navrhovaný CYKCY-J 5x10 bude napojený z rozvádzača RS211-1-1J/1.  Kábel po výstupe z rozvádzača bude vedený v budove rozvodne v káblovom priestore, potom sa uloží na most odkiaľ bude vedený po OK  a následne do objektu kde sa nachádza napájaný rozvádzač.</w:t>
      </w:r>
    </w:p>
    <w:p w14:paraId="5CE41926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Káble v predmetnom objekte budú vedené po povrchu v lištách.</w:t>
      </w:r>
    </w:p>
    <w:p w14:paraId="35A5ABA9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Káblové trasy pri prechode rôznymi požiarnymi úsekmi budú protipožiarne utesnené s požiarnou odolnosťou na 60 min. Na toto utesnenie musí byť použitý systém, ktorý je v SR certifikovaný Zborom požiarnej ochrany.</w:t>
      </w:r>
    </w:p>
    <w:p w14:paraId="2FB7389B" w14:textId="77777777" w:rsidR="00917427" w:rsidRPr="00917427" w:rsidRDefault="00917427" w:rsidP="00917427">
      <w:pPr>
        <w:ind w:firstLine="432"/>
        <w:rPr>
          <w:szCs w:val="22"/>
        </w:rPr>
      </w:pPr>
    </w:p>
    <w:p w14:paraId="23034D5B" w14:textId="26760171" w:rsidR="00917427" w:rsidRPr="00E37E2D" w:rsidRDefault="00917427" w:rsidP="00E37E2D">
      <w:pPr>
        <w:pStyle w:val="Nadpis2"/>
        <w:tabs>
          <w:tab w:val="clear" w:pos="576"/>
          <w:tab w:val="num" w:pos="1440"/>
        </w:tabs>
        <w:spacing w:before="0"/>
      </w:pPr>
      <w:bookmarkStart w:id="80" w:name="_Toc413216582"/>
      <w:bookmarkStart w:id="81" w:name="_Toc413217633"/>
      <w:bookmarkStart w:id="82" w:name="_Toc501538069"/>
      <w:bookmarkStart w:id="83" w:name="_Toc172130668"/>
      <w:bookmarkStart w:id="84" w:name="_Toc183763012"/>
      <w:r w:rsidRPr="00917427">
        <w:t>6.6</w:t>
      </w:r>
      <w:r w:rsidR="00E37E2D">
        <w:t xml:space="preserve"> </w:t>
      </w:r>
      <w:r w:rsidRPr="00917427">
        <w:t>Ochrana pred zásahom blesku</w:t>
      </w:r>
      <w:bookmarkEnd w:id="80"/>
      <w:bookmarkEnd w:id="81"/>
      <w:bookmarkEnd w:id="82"/>
      <w:bookmarkEnd w:id="83"/>
      <w:bookmarkEnd w:id="84"/>
    </w:p>
    <w:p w14:paraId="3DAA83A6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Pre riešenú stavbu nie je navrhnutý vonkajší systém ochrany pred bleskom. </w:t>
      </w:r>
    </w:p>
    <w:p w14:paraId="51894501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1A291F11" w14:textId="418D1B04" w:rsidR="00917427" w:rsidRPr="00E37E2D" w:rsidRDefault="00917427" w:rsidP="00E37E2D">
      <w:pPr>
        <w:pStyle w:val="Nadpis2"/>
        <w:tabs>
          <w:tab w:val="clear" w:pos="576"/>
          <w:tab w:val="num" w:pos="1440"/>
        </w:tabs>
        <w:spacing w:before="0"/>
      </w:pPr>
      <w:bookmarkStart w:id="85" w:name="_Toc413216583"/>
      <w:bookmarkStart w:id="86" w:name="_Toc413217634"/>
      <w:bookmarkStart w:id="87" w:name="_Toc501538070"/>
      <w:bookmarkStart w:id="88" w:name="_Toc172130669"/>
      <w:bookmarkStart w:id="89" w:name="_Toc183763013"/>
      <w:r w:rsidRPr="00917427">
        <w:t>6.7</w:t>
      </w:r>
      <w:r w:rsidR="00E37E2D">
        <w:t xml:space="preserve"> </w:t>
      </w:r>
      <w:r w:rsidRPr="00917427">
        <w:t>Uzemnenie objektu</w:t>
      </w:r>
      <w:bookmarkEnd w:id="85"/>
      <w:bookmarkEnd w:id="86"/>
      <w:bookmarkEnd w:id="87"/>
      <w:bookmarkEnd w:id="88"/>
      <w:bookmarkEnd w:id="89"/>
    </w:p>
    <w:p w14:paraId="3C74F87A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Uzemňovacia sústava bude realizovaná základovým uzemňovačom. </w:t>
      </w:r>
    </w:p>
    <w:p w14:paraId="6E6D2720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Na určených miestach budú zo základu vyvedené vodiče </w:t>
      </w:r>
      <w:proofErr w:type="spellStart"/>
      <w:r w:rsidRPr="00E37E2D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Pr="00E37E2D">
        <w:rPr>
          <w:rFonts w:ascii="Arial" w:hAnsi="Arial" w:cs="Arial"/>
          <w:sz w:val="22"/>
          <w:szCs w:val="22"/>
          <w:lang w:eastAsia="sk-SK"/>
        </w:rPr>
        <w:t xml:space="preserve"> ø10 o dĺžke 2m pre pripojenie  hlavnej uzemňovacej </w:t>
      </w:r>
      <w:proofErr w:type="spellStart"/>
      <w:r w:rsidRPr="00E37E2D">
        <w:rPr>
          <w:rFonts w:ascii="Arial" w:hAnsi="Arial" w:cs="Arial"/>
          <w:sz w:val="22"/>
          <w:szCs w:val="22"/>
          <w:lang w:eastAsia="sk-SK"/>
        </w:rPr>
        <w:t>prípojnice</w:t>
      </w:r>
      <w:proofErr w:type="spellEnd"/>
      <w:r w:rsidRPr="00E37E2D">
        <w:rPr>
          <w:rFonts w:ascii="Arial" w:hAnsi="Arial" w:cs="Arial"/>
          <w:sz w:val="22"/>
          <w:szCs w:val="22"/>
          <w:lang w:eastAsia="sk-SK"/>
        </w:rPr>
        <w:t xml:space="preserve"> a rebríka na celkové uzemnenie objektu.</w:t>
      </w:r>
    </w:p>
    <w:p w14:paraId="6C82E96A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lastRenderedPageBreak/>
        <w:t xml:space="preserve">Spájanie jednotlivých páskových vodičov </w:t>
      </w:r>
      <w:proofErr w:type="spellStart"/>
      <w:r w:rsidRPr="00E37E2D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Pr="00E37E2D">
        <w:rPr>
          <w:rFonts w:ascii="Arial" w:hAnsi="Arial" w:cs="Arial"/>
          <w:sz w:val="22"/>
          <w:szCs w:val="22"/>
          <w:lang w:eastAsia="sk-SK"/>
        </w:rPr>
        <w:t xml:space="preserve"> 30x4mm je potrebné vykonať zvarmi s vhodnou antikoróznou úpravou, príp. príslušnými pozinkovanými svorkami v množstve dve svorky na jeden spoj.</w:t>
      </w:r>
    </w:p>
    <w:p w14:paraId="75416BD5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Vzhľadom na funkčné uzemnenie elektroinštalácie je uzemňovacia sústava navrhnutá tak, aby celkový zemný odpor bol menší ako 10Ω.</w:t>
      </w:r>
    </w:p>
    <w:p w14:paraId="69D2D2F9" w14:textId="77777777" w:rsidR="00917427" w:rsidRPr="00917427" w:rsidRDefault="00917427" w:rsidP="00917427">
      <w:pPr>
        <w:ind w:firstLine="432"/>
        <w:rPr>
          <w:szCs w:val="22"/>
        </w:rPr>
      </w:pPr>
    </w:p>
    <w:p w14:paraId="58E1D07C" w14:textId="5EC3E26A" w:rsidR="00917427" w:rsidRPr="00E37E2D" w:rsidRDefault="00917427" w:rsidP="00E37E2D">
      <w:pPr>
        <w:pStyle w:val="Nadpis2"/>
        <w:tabs>
          <w:tab w:val="clear" w:pos="576"/>
          <w:tab w:val="num" w:pos="1440"/>
        </w:tabs>
        <w:spacing w:before="0"/>
      </w:pPr>
      <w:bookmarkStart w:id="90" w:name="_Toc413216586"/>
      <w:bookmarkStart w:id="91" w:name="_Toc413217637"/>
      <w:bookmarkStart w:id="92" w:name="_Toc501538071"/>
      <w:bookmarkStart w:id="93" w:name="_Toc172130670"/>
      <w:bookmarkStart w:id="94" w:name="_Toc183763014"/>
      <w:r w:rsidRPr="00917427">
        <w:t>6.8</w:t>
      </w:r>
      <w:r w:rsidR="00E37E2D">
        <w:t xml:space="preserve"> </w:t>
      </w:r>
      <w:r w:rsidRPr="00917427">
        <w:t>Ochranné pospájanie</w:t>
      </w:r>
      <w:bookmarkEnd w:id="90"/>
      <w:bookmarkEnd w:id="91"/>
      <w:bookmarkEnd w:id="92"/>
      <w:bookmarkEnd w:id="93"/>
      <w:bookmarkEnd w:id="94"/>
    </w:p>
    <w:p w14:paraId="53B82EDF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V zmysle STN 33 2000-4-41, čl. 411.3.1.2 musí byť v každej budove k ochrannému pospájaniu pripojený uzemňovací vodič, hlavná uzemňovacia svorka/</w:t>
      </w:r>
      <w:proofErr w:type="spellStart"/>
      <w:r w:rsidRPr="00E37E2D">
        <w:rPr>
          <w:rFonts w:ascii="Arial" w:hAnsi="Arial" w:cs="Arial"/>
          <w:sz w:val="22"/>
          <w:szCs w:val="22"/>
          <w:lang w:eastAsia="sk-SK"/>
        </w:rPr>
        <w:t>prípojnica</w:t>
      </w:r>
      <w:proofErr w:type="spellEnd"/>
      <w:r w:rsidRPr="00E37E2D">
        <w:rPr>
          <w:rFonts w:ascii="Arial" w:hAnsi="Arial" w:cs="Arial"/>
          <w:sz w:val="22"/>
          <w:szCs w:val="22"/>
          <w:lang w:eastAsia="sk-SK"/>
        </w:rPr>
        <w:t xml:space="preserve"> a nasledujúce vodivé časti:</w:t>
      </w:r>
    </w:p>
    <w:p w14:paraId="5BEB09D6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• kovové potrubia napájajúce technické zariadenia budov, napríklad plyn, voda</w:t>
      </w:r>
    </w:p>
    <w:p w14:paraId="62E53500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• konštrukčné cudzie vodivé časti, ak sú prístupné pri normálnom používaní, kovové systémy ústredného kúrenia a klimatizácie</w:t>
      </w:r>
    </w:p>
    <w:p w14:paraId="0E2F2E2D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• kovové armatúry železobetónovej konštrukcie, ak sú armatúry prístupné a navzájom spoľahlivo prepojené</w:t>
      </w:r>
    </w:p>
    <w:p w14:paraId="430B1A69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V predmetnom objekte bude zriadená </w:t>
      </w:r>
      <w:proofErr w:type="spellStart"/>
      <w:r w:rsidRPr="00E37E2D">
        <w:rPr>
          <w:rFonts w:ascii="Arial" w:hAnsi="Arial" w:cs="Arial"/>
          <w:sz w:val="22"/>
          <w:szCs w:val="22"/>
          <w:lang w:eastAsia="sk-SK"/>
        </w:rPr>
        <w:t>prípojnica</w:t>
      </w:r>
      <w:proofErr w:type="spellEnd"/>
      <w:r w:rsidRPr="00E37E2D">
        <w:rPr>
          <w:rFonts w:ascii="Arial" w:hAnsi="Arial" w:cs="Arial"/>
          <w:sz w:val="22"/>
          <w:szCs w:val="22"/>
          <w:lang w:eastAsia="sk-SK"/>
        </w:rPr>
        <w:t xml:space="preserve"> hlavného ochranného pospájania (ďalej HUP), ktorá bude prepojená s uzemňovačom hlavným uzemňovacím vodičom </w:t>
      </w:r>
      <w:proofErr w:type="spellStart"/>
      <w:r w:rsidRPr="00E37E2D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Pr="00E37E2D">
        <w:rPr>
          <w:rFonts w:ascii="Arial" w:hAnsi="Arial" w:cs="Arial"/>
          <w:sz w:val="22"/>
          <w:szCs w:val="22"/>
          <w:lang w:eastAsia="sk-SK"/>
        </w:rPr>
        <w:t xml:space="preserve"> Ø10mm s označenými pruhmi zeleno-žltej farby. Na hlavnom uzemňovacom vodiči, medzi HUP a uzemňovačom bude skúšobná svorka.</w:t>
      </w:r>
    </w:p>
    <w:p w14:paraId="1C01127A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Rozvádzač RS211-1-1J/1-1  bude k HUP pripojený ochranným vodičom CY 10mm2 z/ž. Vodiče ochranného pospájania musia vyhovovať HD 60364-5-54 (STN 33 2000-5-54).</w:t>
      </w:r>
    </w:p>
    <w:p w14:paraId="702E8E1C" w14:textId="77777777" w:rsidR="00917427" w:rsidRPr="00917427" w:rsidRDefault="00917427" w:rsidP="00917427">
      <w:pPr>
        <w:ind w:firstLine="432"/>
        <w:rPr>
          <w:szCs w:val="22"/>
        </w:rPr>
      </w:pPr>
    </w:p>
    <w:p w14:paraId="450EC66D" w14:textId="1B464A18" w:rsidR="00917427" w:rsidRPr="00E37E2D" w:rsidRDefault="00917427" w:rsidP="00E37E2D">
      <w:pPr>
        <w:pStyle w:val="Nadpis2"/>
        <w:tabs>
          <w:tab w:val="clear" w:pos="576"/>
          <w:tab w:val="num" w:pos="1440"/>
        </w:tabs>
        <w:spacing w:before="0"/>
      </w:pPr>
      <w:bookmarkStart w:id="95" w:name="_Toc413216587"/>
      <w:bookmarkStart w:id="96" w:name="_Toc413217638"/>
      <w:bookmarkStart w:id="97" w:name="_Toc501538072"/>
      <w:bookmarkStart w:id="98" w:name="_Toc172130671"/>
      <w:bookmarkStart w:id="99" w:name="_Toc183763015"/>
      <w:r w:rsidRPr="00917427">
        <w:t>6.9</w:t>
      </w:r>
      <w:r w:rsidR="00E37E2D">
        <w:t xml:space="preserve"> </w:t>
      </w:r>
      <w:r w:rsidRPr="00917427">
        <w:t>Doplnková ochrana:</w:t>
      </w:r>
      <w:bookmarkEnd w:id="95"/>
      <w:bookmarkEnd w:id="96"/>
      <w:bookmarkEnd w:id="97"/>
      <w:bookmarkEnd w:id="98"/>
      <w:bookmarkEnd w:id="99"/>
      <w:r w:rsidRPr="00917427">
        <w:t xml:space="preserve"> </w:t>
      </w:r>
    </w:p>
    <w:p w14:paraId="24DADEF7" w14:textId="77777777" w:rsidR="00917427" w:rsidRPr="00E37E2D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100" w:name="_Toc413216588"/>
      <w:bookmarkStart w:id="101" w:name="_Toc413217639"/>
      <w:r w:rsidRPr="00E37E2D">
        <w:rPr>
          <w:rFonts w:ascii="Arial" w:hAnsi="Arial" w:cs="Arial"/>
          <w:b/>
          <w:sz w:val="22"/>
          <w:szCs w:val="22"/>
        </w:rPr>
        <w:t>6.9.1</w:t>
      </w:r>
      <w:r w:rsidRPr="00E37E2D">
        <w:rPr>
          <w:rFonts w:ascii="Arial" w:hAnsi="Arial" w:cs="Arial"/>
          <w:b/>
          <w:sz w:val="22"/>
          <w:szCs w:val="22"/>
        </w:rPr>
        <w:tab/>
        <w:t>Prúdové chrániče (RCD)</w:t>
      </w:r>
      <w:bookmarkEnd w:id="100"/>
      <w:bookmarkEnd w:id="101"/>
    </w:p>
    <w:p w14:paraId="7BA86A17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V zmysle STN 33 2000-4-41, čl. 415.1 sa prúdové chrániče s menovitým rozdielovým vypínacím prúdom nepresahujúcim 30mA uznávajú ako doplnková ochrana. Táto doplnková ochrana sa musí zabezpečiť pre zásuvky s menovitým prúdom nepresahujúcim 20A, ktoré sú určené pre používanie laikmi a na všeobecné použitie. Takisto zásuvky vo vonkajších priestoroch používané pre mobilné zariadenia s menovitým prúdom nepresahujúcim 32A.</w:t>
      </w:r>
    </w:p>
    <w:p w14:paraId="06FAF5AF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64B001D4" w14:textId="77777777" w:rsidR="00917427" w:rsidRPr="00E37E2D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102" w:name="_Toc413216589"/>
      <w:bookmarkStart w:id="103" w:name="_Toc413217640"/>
      <w:r w:rsidRPr="00E37E2D">
        <w:rPr>
          <w:rFonts w:ascii="Arial" w:hAnsi="Arial" w:cs="Arial"/>
          <w:b/>
          <w:sz w:val="22"/>
          <w:szCs w:val="22"/>
        </w:rPr>
        <w:t>6.9.2</w:t>
      </w:r>
      <w:r w:rsidRPr="00E37E2D">
        <w:rPr>
          <w:rFonts w:ascii="Arial" w:hAnsi="Arial" w:cs="Arial"/>
          <w:b/>
          <w:sz w:val="22"/>
          <w:szCs w:val="22"/>
        </w:rPr>
        <w:tab/>
        <w:t>Doplnkové ochranné pospájanie</w:t>
      </w:r>
      <w:bookmarkEnd w:id="102"/>
      <w:bookmarkEnd w:id="103"/>
    </w:p>
    <w:p w14:paraId="4F431840" w14:textId="77777777" w:rsidR="00917427" w:rsidRPr="00E37E2D" w:rsidRDefault="00917427" w:rsidP="00E37E2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>V zmysle STN 33 2000-4-41, čl. 415.2 doplnkové ochranné pospájanie musí zahŕňať všetky súčasne prístupné neživé časti pripevnených zariadení a cudzie vodivé časti, vrátane hlavnej kovovej výstuže železobetónu, ak je to prakticky vykonateľné. Sústava pospájania musí byť spojená s ochrannými vodičmi všetkých zariadení vrátane ochranných vodičov zásuviek. Doplnkové ochranné pospájanie vykonať vodičom CY 6mm2 z/ž, pomocou príslušných svoriek.</w:t>
      </w:r>
    </w:p>
    <w:p w14:paraId="2766B8FF" w14:textId="1699509C" w:rsidR="00910B54" w:rsidRPr="00910B54" w:rsidRDefault="0020189D" w:rsidP="0020189D">
      <w:pPr>
        <w:pStyle w:val="Nadpis2"/>
      </w:pPr>
      <w:bookmarkStart w:id="104" w:name="_Toc183763016"/>
      <w:r>
        <w:t>6.10</w:t>
      </w:r>
      <w:r w:rsidR="00910B54">
        <w:t xml:space="preserve"> </w:t>
      </w:r>
      <w:r w:rsidR="00910B54" w:rsidRPr="00910B54">
        <w:t>Odpady a ich likvidácia</w:t>
      </w:r>
      <w:bookmarkEnd w:id="104"/>
    </w:p>
    <w:p w14:paraId="2AD3E1F5" w14:textId="76A680C3" w:rsidR="00910B54" w:rsidRPr="00B31ADC" w:rsidRDefault="00910B54" w:rsidP="00910B54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910B54" w:rsidRPr="00910B54" w14:paraId="32BC8EB9" w14:textId="77777777" w:rsidTr="00910B54">
        <w:trPr>
          <w:tblHeader/>
        </w:trPr>
        <w:tc>
          <w:tcPr>
            <w:tcW w:w="662" w:type="dxa"/>
            <w:vAlign w:val="center"/>
          </w:tcPr>
          <w:p w14:paraId="1D904D3F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43F02A2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6F8ED457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5574FF32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046F091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910B54" w:rsidRPr="00910B54" w14:paraId="2DC97B13" w14:textId="77777777" w:rsidTr="00910B54">
        <w:tc>
          <w:tcPr>
            <w:tcW w:w="662" w:type="dxa"/>
            <w:vAlign w:val="center"/>
          </w:tcPr>
          <w:p w14:paraId="06BC211C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7A4ED0B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3CAACAE3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7F36336A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D5F5840" w14:textId="30D589F2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0B54" w:rsidRPr="00910B54" w14:paraId="1A482090" w14:textId="77777777" w:rsidTr="00910B54">
        <w:tc>
          <w:tcPr>
            <w:tcW w:w="662" w:type="dxa"/>
            <w:vAlign w:val="center"/>
          </w:tcPr>
          <w:p w14:paraId="258349FE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38BA50B1" w14:textId="2A6F79FA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 w:rsidR="008A4305"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5EB671B6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18354409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E7FDCD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0,002</w:t>
            </w:r>
          </w:p>
        </w:tc>
      </w:tr>
      <w:tr w:rsidR="00910B54" w:rsidRPr="00910B54" w14:paraId="3BE2320D" w14:textId="77777777" w:rsidTr="00910B54">
        <w:tc>
          <w:tcPr>
            <w:tcW w:w="662" w:type="dxa"/>
            <w:vAlign w:val="center"/>
          </w:tcPr>
          <w:p w14:paraId="4CBCFBAB" w14:textId="4C27103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090FB541" w14:textId="0A871304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14:paraId="3AA921D5" w14:textId="57D2FF00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Hliník a jeho zliatiny</w:t>
            </w:r>
          </w:p>
        </w:tc>
        <w:tc>
          <w:tcPr>
            <w:tcW w:w="1158" w:type="dxa"/>
            <w:vAlign w:val="center"/>
          </w:tcPr>
          <w:p w14:paraId="0583AA18" w14:textId="548D7F1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72119A9" w14:textId="2000A838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</w:tr>
      <w:tr w:rsidR="00910B54" w:rsidRPr="00910B54" w14:paraId="215C3C3D" w14:textId="77777777" w:rsidTr="00910B54">
        <w:tc>
          <w:tcPr>
            <w:tcW w:w="662" w:type="dxa"/>
            <w:vAlign w:val="center"/>
          </w:tcPr>
          <w:p w14:paraId="5C1602D6" w14:textId="376C50C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377B35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3228FF02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69CBABB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58884D2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910B54" w:rsidRPr="00910B54" w14:paraId="2B429D3B" w14:textId="77777777" w:rsidTr="00910B54">
        <w:tc>
          <w:tcPr>
            <w:tcW w:w="662" w:type="dxa"/>
            <w:vAlign w:val="center"/>
          </w:tcPr>
          <w:p w14:paraId="6A7FC2BB" w14:textId="73B4E0E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339" w:type="dxa"/>
            <w:vAlign w:val="center"/>
          </w:tcPr>
          <w:p w14:paraId="425E6037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399E077B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7E91C9E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39FC9DE8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</w:tr>
    </w:tbl>
    <w:p w14:paraId="3596B301" w14:textId="77777777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</w:p>
    <w:p w14:paraId="715E0DA5" w14:textId="68557BD3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336D2B4D" w14:textId="5217D75D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 w:rsidR="00DA3C61"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7E22F10D" w14:textId="77777777" w:rsidR="00910B54" w:rsidRPr="00910B54" w:rsidRDefault="00910B54" w:rsidP="00910B5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910B54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odvážaný špecializovanou firmou na uskladnenie resp. zneškodnenie.</w:t>
      </w:r>
    </w:p>
    <w:p w14:paraId="623C6A62" w14:textId="77777777" w:rsidR="00910B54" w:rsidRPr="00A4341E" w:rsidRDefault="00910B54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05" w:name="_Toc183763017"/>
      <w:r w:rsidRPr="00D14EA0">
        <w:rPr>
          <w:rFonts w:cs="Arial"/>
          <w:lang w:val="sk-SK"/>
        </w:rPr>
        <w:t>MONTÁŽ</w:t>
      </w:r>
      <w:bookmarkEnd w:id="105"/>
    </w:p>
    <w:p w14:paraId="3613BDEB" w14:textId="3F250D08" w:rsidR="00F90F7B" w:rsidRDefault="00F90F7B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 w:rsidRPr="00F90F7B">
        <w:rPr>
          <w:rFonts w:ascii="Arial" w:hAnsi="Arial" w:cs="Arial"/>
          <w:sz w:val="22"/>
          <w:szCs w:val="22"/>
          <w:lang w:eastAsia="sk-SK"/>
        </w:rPr>
        <w:t xml:space="preserve">Vybrané pole rozvádzača </w:t>
      </w:r>
      <w:r w:rsidR="0020189D" w:rsidRPr="0020189D">
        <w:rPr>
          <w:rFonts w:ascii="Arial" w:hAnsi="Arial" w:cs="Arial"/>
          <w:sz w:val="22"/>
          <w:szCs w:val="22"/>
          <w:lang w:eastAsia="sk-SK"/>
        </w:rPr>
        <w:t>RS211-1-1J/1</w:t>
      </w:r>
      <w:r w:rsidRPr="00F90F7B">
        <w:rPr>
          <w:rFonts w:ascii="Arial" w:hAnsi="Arial" w:cs="Arial"/>
          <w:sz w:val="22"/>
          <w:szCs w:val="22"/>
        </w:rPr>
        <w:t xml:space="preserve">  sa dozbrojí o istený vývod</w:t>
      </w:r>
      <w:r>
        <w:rPr>
          <w:rFonts w:ascii="Arial" w:hAnsi="Arial" w:cs="Arial"/>
          <w:sz w:val="22"/>
          <w:szCs w:val="22"/>
        </w:rPr>
        <w:t>.</w:t>
      </w:r>
      <w:r w:rsidRPr="00F90F7B">
        <w:rPr>
          <w:rFonts w:ascii="Arial" w:hAnsi="Arial" w:cs="Arial"/>
          <w:sz w:val="22"/>
          <w:szCs w:val="22"/>
        </w:rPr>
        <w:t xml:space="preserve"> </w:t>
      </w:r>
      <w:r w:rsidRPr="00F90F7B">
        <w:rPr>
          <w:rFonts w:ascii="Arial" w:hAnsi="Arial" w:cs="Arial"/>
          <w:sz w:val="22"/>
          <w:szCs w:val="22"/>
          <w:lang w:eastAsia="sk-SK"/>
        </w:rPr>
        <w:t xml:space="preserve">Prípojný kábel do </w:t>
      </w:r>
      <w:r w:rsidR="0020189D" w:rsidRPr="0020189D">
        <w:rPr>
          <w:rFonts w:ascii="Arial" w:hAnsi="Arial" w:cs="Arial"/>
          <w:sz w:val="22"/>
          <w:szCs w:val="22"/>
          <w:lang w:eastAsia="sk-SK"/>
        </w:rPr>
        <w:t>RS211-1-1J/1</w:t>
      </w:r>
      <w:r w:rsidR="0020189D">
        <w:rPr>
          <w:rFonts w:ascii="Arial" w:hAnsi="Arial" w:cs="Arial"/>
          <w:sz w:val="22"/>
          <w:szCs w:val="22"/>
          <w:lang w:eastAsia="sk-SK"/>
        </w:rPr>
        <w:t>-1</w:t>
      </w:r>
      <w:r w:rsidRPr="00F90F7B">
        <w:rPr>
          <w:rFonts w:ascii="Arial" w:hAnsi="Arial" w:cs="Arial"/>
          <w:sz w:val="22"/>
          <w:szCs w:val="22"/>
          <w:lang w:eastAsia="sk-SK"/>
        </w:rPr>
        <w:t xml:space="preserve"> je </w:t>
      </w:r>
      <w:r>
        <w:rPr>
          <w:rFonts w:ascii="Arial" w:hAnsi="Arial" w:cs="Arial"/>
          <w:sz w:val="22"/>
          <w:szCs w:val="22"/>
          <w:lang w:eastAsia="sk-SK"/>
        </w:rPr>
        <w:t xml:space="preserve">uvažovaný </w:t>
      </w:r>
      <w:r w:rsidRPr="00F90F7B">
        <w:rPr>
          <w:rFonts w:ascii="Arial" w:hAnsi="Arial" w:cs="Arial"/>
          <w:sz w:val="22"/>
          <w:szCs w:val="22"/>
          <w:lang w:eastAsia="sk-SK"/>
        </w:rPr>
        <w:t xml:space="preserve">s medeným jadrom – CYKY. </w:t>
      </w:r>
      <w:bookmarkStart w:id="106" w:name="_Hlk174976397"/>
      <w:r>
        <w:rPr>
          <w:rFonts w:ascii="Arial" w:hAnsi="Arial" w:cs="Arial"/>
          <w:sz w:val="22"/>
          <w:szCs w:val="22"/>
          <w:lang w:eastAsia="sk-SK"/>
        </w:rPr>
        <w:t xml:space="preserve">Pre </w:t>
      </w:r>
      <w:proofErr w:type="spellStart"/>
      <w:r>
        <w:rPr>
          <w:rFonts w:ascii="Arial" w:hAnsi="Arial" w:cs="Arial"/>
          <w:sz w:val="22"/>
          <w:szCs w:val="22"/>
          <w:lang w:eastAsia="sk-SK"/>
        </w:rPr>
        <w:t>pokládku</w:t>
      </w:r>
      <w:proofErr w:type="spellEnd"/>
      <w:r>
        <w:rPr>
          <w:rFonts w:ascii="Arial" w:hAnsi="Arial" w:cs="Arial"/>
          <w:sz w:val="22"/>
          <w:szCs w:val="22"/>
          <w:lang w:eastAsia="sk-SK"/>
        </w:rPr>
        <w:t xml:space="preserve"> kábla sa využijú prednostne jestvujúce káblové lávky a rošty v káblovom kanáli a potrubnom moste. Chýbajúce úseky nosnej časti sa doplnia vrátane vstupu do samotnej rozvodne na kyslíkovej stanici. Súbežne s napájacím káblom pre </w:t>
      </w:r>
      <w:r w:rsidR="0020189D" w:rsidRPr="0020189D">
        <w:rPr>
          <w:rFonts w:ascii="Arial" w:hAnsi="Arial" w:cs="Arial"/>
          <w:sz w:val="22"/>
          <w:szCs w:val="22"/>
          <w:lang w:eastAsia="sk-SK"/>
        </w:rPr>
        <w:t>RS211-1-1J/1</w:t>
      </w:r>
      <w:r w:rsidR="0020189D">
        <w:rPr>
          <w:rFonts w:ascii="Arial" w:hAnsi="Arial" w:cs="Arial"/>
          <w:sz w:val="22"/>
          <w:szCs w:val="22"/>
          <w:lang w:eastAsia="sk-SK"/>
        </w:rPr>
        <w:t>-1</w:t>
      </w:r>
      <w:r>
        <w:rPr>
          <w:rFonts w:ascii="Arial" w:hAnsi="Arial" w:cs="Arial"/>
          <w:sz w:val="22"/>
          <w:szCs w:val="22"/>
          <w:lang w:eastAsia="sk-SK"/>
        </w:rPr>
        <w:t xml:space="preserve"> je možné trasy využiť aj pre kábel rozvádzača (</w:t>
      </w:r>
      <w:r w:rsidR="0020189D">
        <w:rPr>
          <w:rFonts w:ascii="Arial" w:hAnsi="Arial" w:cs="Arial"/>
          <w:sz w:val="22"/>
          <w:szCs w:val="22"/>
          <w:lang w:eastAsia="sk-SK"/>
        </w:rPr>
        <w:t>RD</w:t>
      </w:r>
      <w:r>
        <w:rPr>
          <w:rFonts w:ascii="Arial" w:hAnsi="Arial" w:cs="Arial"/>
          <w:sz w:val="22"/>
          <w:szCs w:val="22"/>
          <w:lang w:eastAsia="sk-SK"/>
        </w:rPr>
        <w:t xml:space="preserve"> 201) a optického kábla (ČPS 201.6). Prestupy kabeláže medzi požiarnymi úsekmi sa utesnia.</w:t>
      </w:r>
    </w:p>
    <w:bookmarkEnd w:id="106"/>
    <w:p w14:paraId="348403CC" w14:textId="72D97645" w:rsidR="00715683" w:rsidRDefault="00F90F7B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Pre uzemnenie TG zariadení </w:t>
      </w:r>
      <w:r w:rsidR="00715683">
        <w:rPr>
          <w:rFonts w:ascii="Arial" w:hAnsi="Arial" w:cs="Arial"/>
          <w:sz w:val="22"/>
          <w:szCs w:val="22"/>
          <w:lang w:eastAsia="sk-SK"/>
        </w:rPr>
        <w:t xml:space="preserve">ako ochrane pred statickou elektrinou </w:t>
      </w:r>
      <w:r>
        <w:rPr>
          <w:rFonts w:ascii="Arial" w:hAnsi="Arial" w:cs="Arial"/>
          <w:sz w:val="22"/>
          <w:szCs w:val="22"/>
          <w:lang w:eastAsia="sk-SK"/>
        </w:rPr>
        <w:t xml:space="preserve">pripraví strojná technológia navarené prípojky </w:t>
      </w:r>
      <w:proofErr w:type="spellStart"/>
      <w:r w:rsidR="00715683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="00715683">
        <w:rPr>
          <w:rFonts w:ascii="Arial" w:hAnsi="Arial" w:cs="Arial"/>
          <w:sz w:val="22"/>
          <w:szCs w:val="22"/>
          <w:lang w:eastAsia="sk-SK"/>
        </w:rPr>
        <w:t xml:space="preserve"> 20x3 do miest upresnených v RP, na ktoré sa pripoja štandardnými bleskozvodnými svorkami uzemňovacie vodiče. Pre ich uzemnenie sa využije obvodová HUP.</w:t>
      </w:r>
    </w:p>
    <w:p w14:paraId="375F1A10" w14:textId="112C23C4" w:rsidR="006D78BE" w:rsidRPr="00F90F7B" w:rsidRDefault="00715683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Vonkajšie potrubné rozvody sa uzemnia na oceľovú konštrukciu podperného stĺpa, ktorý tvorí uzemnený náhodný zvod.</w:t>
      </w:r>
      <w:r w:rsidR="00F90F7B">
        <w:rPr>
          <w:rFonts w:ascii="Arial" w:hAnsi="Arial" w:cs="Arial"/>
          <w:sz w:val="22"/>
          <w:szCs w:val="22"/>
          <w:lang w:eastAsia="sk-SK"/>
        </w:rPr>
        <w:t xml:space="preserve">  </w:t>
      </w:r>
    </w:p>
    <w:p w14:paraId="52F53533" w14:textId="77777777" w:rsidR="00F90F7B" w:rsidRDefault="00F90F7B" w:rsidP="00311779">
      <w:pPr>
        <w:ind w:firstLine="708"/>
        <w:rPr>
          <w:rFonts w:ascii="Arial" w:hAnsi="Arial" w:cs="Arial"/>
          <w:sz w:val="22"/>
          <w:szCs w:val="22"/>
        </w:rPr>
      </w:pPr>
    </w:p>
    <w:p w14:paraId="0C16E337" w14:textId="77777777" w:rsidR="00715683" w:rsidRDefault="00715683" w:rsidP="0069019A">
      <w:pPr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07" w:name="_Toc23318828"/>
      <w:bookmarkStart w:id="108" w:name="_Toc183763018"/>
      <w:r w:rsidRPr="00430CDF">
        <w:rPr>
          <w:rFonts w:cs="Arial"/>
          <w:lang w:val="sk-SK"/>
        </w:rPr>
        <w:t>Vyhodnotenie neodstrániteľného nebezpečenstva ohrozenia podľa zákona 124/2006 Z. z., §4,</w:t>
      </w:r>
      <w:bookmarkEnd w:id="108"/>
      <w:r w:rsidRPr="00430CDF">
        <w:rPr>
          <w:rFonts w:cs="Arial"/>
          <w:lang w:val="sk-SK"/>
        </w:rPr>
        <w:t xml:space="preserve"> </w:t>
      </w:r>
      <w:bookmarkEnd w:id="107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3587D9DD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5EEBA4A" w14:textId="77777777" w:rsidR="00910B54" w:rsidRDefault="00910B54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Vytypovanie lokality pre dané neodstrániteľné nebezpečenstvá a ohrozenia :</w:t>
      </w:r>
    </w:p>
    <w:p w14:paraId="07E33142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13CB31EB" w14:textId="77777777" w:rsidR="00715683" w:rsidRDefault="00715683" w:rsidP="00311779">
      <w:pPr>
        <w:ind w:firstLine="567"/>
        <w:rPr>
          <w:rFonts w:ascii="Arial" w:hAnsi="Arial" w:cs="Arial"/>
          <w:b/>
          <w:sz w:val="20"/>
          <w:szCs w:val="20"/>
        </w:rPr>
      </w:pPr>
    </w:p>
    <w:p w14:paraId="234FCD41" w14:textId="7797C0C5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23BC311" w14:textId="77777777" w:rsidR="0069019A" w:rsidRDefault="0069019A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lastRenderedPageBreak/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109" w:name="_Toc23318829"/>
      <w:bookmarkStart w:id="110" w:name="_Toc183763019"/>
      <w:r w:rsidRPr="00A4341E">
        <w:rPr>
          <w:rFonts w:cs="Arial"/>
          <w:caps/>
          <w:lang w:val="sk-SK"/>
        </w:rPr>
        <w:t>Bezpečnosť práce a ochrana zdravia</w:t>
      </w:r>
      <w:bookmarkEnd w:id="109"/>
      <w:bookmarkEnd w:id="110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40CC1533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 w:rsidR="00715683">
        <w:rPr>
          <w:rFonts w:cs="Arial"/>
          <w:szCs w:val="22"/>
        </w:rPr>
        <w:t>júl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1D8EF588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 xml:space="preserve">Vypracoval: </w:t>
      </w:r>
      <w:r w:rsidR="0020189D">
        <w:t xml:space="preserve">Ing. Pavol </w:t>
      </w:r>
      <w:proofErr w:type="spellStart"/>
      <w:r w:rsidR="0020189D">
        <w:t>Richtarčík</w:t>
      </w:r>
      <w:proofErr w:type="spellEnd"/>
    </w:p>
    <w:p w14:paraId="48C00835" w14:textId="6E030215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proofErr w:type="spellStart"/>
      <w:r w:rsidRPr="00A4341E">
        <w:rPr>
          <w:rFonts w:cs="Arial"/>
          <w:lang w:val="sk-SK"/>
        </w:rPr>
        <w:t>č.osv.IBP</w:t>
      </w:r>
      <w:proofErr w:type="spellEnd"/>
      <w:r w:rsidRPr="00A4341E">
        <w:rPr>
          <w:rFonts w:cs="Arial"/>
          <w:lang w:val="sk-SK"/>
        </w:rPr>
        <w:t xml:space="preserve">: </w:t>
      </w:r>
      <w:r w:rsidR="0020189D">
        <w:t>395 IKO 1998 EZ P A, B,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sectPr w:rsidR="00311779" w:rsidRPr="00A4341E" w:rsidSect="00E321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46385" w14:textId="77777777" w:rsidR="00411F87" w:rsidRDefault="00411F87" w:rsidP="00311779">
      <w:r>
        <w:separator/>
      </w:r>
    </w:p>
  </w:endnote>
  <w:endnote w:type="continuationSeparator" w:id="0">
    <w:p w14:paraId="0BBEDB0A" w14:textId="77777777" w:rsidR="00411F87" w:rsidRDefault="00411F87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D8532" w14:textId="08FFD6A4" w:rsidR="00311779" w:rsidRPr="00311779" w:rsidRDefault="00C3314A" w:rsidP="00C3314A">
    <w:pPr>
      <w:pStyle w:val="Pta"/>
      <w:tabs>
        <w:tab w:val="clear" w:pos="4536"/>
        <w:tab w:val="clear" w:pos="9072"/>
        <w:tab w:val="left" w:pos="7230"/>
      </w:tabs>
      <w:rPr>
        <w:sz w:val="24"/>
      </w:rPr>
    </w:pPr>
    <w:r>
      <w:rPr>
        <w:b/>
        <w:sz w:val="28"/>
        <w:szCs w:val="28"/>
        <w:lang w:eastAsia="en-US"/>
      </w:rPr>
      <w:t>EN-0723.</w:t>
    </w:r>
    <w:r w:rsidR="006B752A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</w:t>
    </w:r>
    <w:r w:rsidR="006B752A">
      <w:rPr>
        <w:b/>
        <w:sz w:val="28"/>
        <w:szCs w:val="28"/>
        <w:lang w:eastAsia="en-US"/>
      </w:rPr>
      <w:t>D</w:t>
    </w:r>
    <w:r>
      <w:rPr>
        <w:b/>
        <w:sz w:val="28"/>
        <w:szCs w:val="28"/>
        <w:lang w:eastAsia="en-US"/>
      </w:rPr>
      <w:t>.201.</w:t>
    </w:r>
    <w:r w:rsidR="006B752A">
      <w:rPr>
        <w:b/>
        <w:sz w:val="28"/>
        <w:szCs w:val="28"/>
        <w:lang w:eastAsia="en-US"/>
      </w:rPr>
      <w:t>02.00</w:t>
    </w:r>
    <w:r>
      <w:rPr>
        <w:b/>
        <w:sz w:val="28"/>
        <w:szCs w:val="28"/>
        <w:lang w:eastAsia="en-US"/>
      </w:rPr>
      <w:t>.EE-TS</w:t>
    </w:r>
    <w:r w:rsidR="00311779">
      <w:rPr>
        <w:b/>
        <w:sz w:val="24"/>
        <w:lang w:eastAsia="en-US"/>
      </w:rPr>
      <w:tab/>
      <w:t xml:space="preserve">    </w:t>
    </w:r>
    <w:r w:rsidRPr="00C3314A">
      <w:rPr>
        <w:bCs/>
        <w:szCs w:val="22"/>
        <w:lang w:eastAsia="en-US"/>
      </w:rPr>
      <w:t xml:space="preserve">Strana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PAGE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1</w:t>
    </w:r>
    <w:r w:rsidRPr="00C3314A">
      <w:rPr>
        <w:bCs/>
        <w:szCs w:val="22"/>
        <w:lang w:eastAsia="en-US"/>
      </w:rPr>
      <w:fldChar w:fldCharType="end"/>
    </w:r>
    <w:r w:rsidRPr="00C3314A">
      <w:rPr>
        <w:bCs/>
        <w:szCs w:val="22"/>
        <w:lang w:eastAsia="en-US"/>
      </w:rPr>
      <w:t xml:space="preserve"> z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NUMPAGES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2</w:t>
    </w:r>
    <w:r w:rsidRPr="00C3314A">
      <w:rPr>
        <w:bCs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22231" w14:textId="77777777" w:rsidR="00411F87" w:rsidRDefault="00411F87" w:rsidP="00311779">
      <w:r>
        <w:separator/>
      </w:r>
    </w:p>
  </w:footnote>
  <w:footnote w:type="continuationSeparator" w:id="0">
    <w:p w14:paraId="44BF0453" w14:textId="77777777" w:rsidR="00411F87" w:rsidRDefault="00411F87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1BB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5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4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2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6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6CC54E5"/>
    <w:multiLevelType w:val="hybridMultilevel"/>
    <w:tmpl w:val="23CC99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4"/>
  </w:num>
  <w:num w:numId="3" w16cid:durableId="359596828">
    <w:abstractNumId w:val="27"/>
  </w:num>
  <w:num w:numId="4" w16cid:durableId="81413174">
    <w:abstractNumId w:val="22"/>
  </w:num>
  <w:num w:numId="5" w16cid:durableId="492449356">
    <w:abstractNumId w:val="44"/>
  </w:num>
  <w:num w:numId="6" w16cid:durableId="1726639811">
    <w:abstractNumId w:val="33"/>
  </w:num>
  <w:num w:numId="7" w16cid:durableId="16928391">
    <w:abstractNumId w:val="5"/>
  </w:num>
  <w:num w:numId="8" w16cid:durableId="1547526008">
    <w:abstractNumId w:val="20"/>
  </w:num>
  <w:num w:numId="9" w16cid:durableId="1098987087">
    <w:abstractNumId w:val="12"/>
  </w:num>
  <w:num w:numId="10" w16cid:durableId="550117630">
    <w:abstractNumId w:val="31"/>
  </w:num>
  <w:num w:numId="11" w16cid:durableId="1814829262">
    <w:abstractNumId w:val="42"/>
  </w:num>
  <w:num w:numId="12" w16cid:durableId="1537698769">
    <w:abstractNumId w:val="13"/>
  </w:num>
  <w:num w:numId="13" w16cid:durableId="164562619">
    <w:abstractNumId w:val="4"/>
  </w:num>
  <w:num w:numId="14" w16cid:durableId="1374619606">
    <w:abstractNumId w:val="0"/>
  </w:num>
  <w:num w:numId="15" w16cid:durableId="1095981273">
    <w:abstractNumId w:val="10"/>
  </w:num>
  <w:num w:numId="16" w16cid:durableId="1443643913">
    <w:abstractNumId w:val="15"/>
  </w:num>
  <w:num w:numId="17" w16cid:durableId="482357371">
    <w:abstractNumId w:val="8"/>
  </w:num>
  <w:num w:numId="18" w16cid:durableId="507644558">
    <w:abstractNumId w:val="9"/>
  </w:num>
  <w:num w:numId="19" w16cid:durableId="556088853">
    <w:abstractNumId w:val="30"/>
  </w:num>
  <w:num w:numId="20" w16cid:durableId="1654064671">
    <w:abstractNumId w:val="35"/>
  </w:num>
  <w:num w:numId="21" w16cid:durableId="77867087">
    <w:abstractNumId w:val="37"/>
  </w:num>
  <w:num w:numId="22" w16cid:durableId="341132533">
    <w:abstractNumId w:val="11"/>
  </w:num>
  <w:num w:numId="23" w16cid:durableId="901990450">
    <w:abstractNumId w:val="16"/>
  </w:num>
  <w:num w:numId="24" w16cid:durableId="1962035328">
    <w:abstractNumId w:val="29"/>
  </w:num>
  <w:num w:numId="25" w16cid:durableId="725033295">
    <w:abstractNumId w:val="6"/>
  </w:num>
  <w:num w:numId="26" w16cid:durableId="105005969">
    <w:abstractNumId w:val="34"/>
  </w:num>
  <w:num w:numId="27" w16cid:durableId="1592667675">
    <w:abstractNumId w:val="32"/>
  </w:num>
  <w:num w:numId="28" w16cid:durableId="1959994945">
    <w:abstractNumId w:val="25"/>
  </w:num>
  <w:num w:numId="29" w16cid:durableId="1046022910">
    <w:abstractNumId w:val="23"/>
  </w:num>
  <w:num w:numId="30" w16cid:durableId="1954314666">
    <w:abstractNumId w:val="26"/>
  </w:num>
  <w:num w:numId="31" w16cid:durableId="1174614313">
    <w:abstractNumId w:val="39"/>
  </w:num>
  <w:num w:numId="32" w16cid:durableId="659887558">
    <w:abstractNumId w:val="17"/>
  </w:num>
  <w:num w:numId="33" w16cid:durableId="1932160233">
    <w:abstractNumId w:val="40"/>
  </w:num>
  <w:num w:numId="34" w16cid:durableId="2132898046">
    <w:abstractNumId w:val="7"/>
  </w:num>
  <w:num w:numId="35" w16cid:durableId="4095146">
    <w:abstractNumId w:val="28"/>
  </w:num>
  <w:num w:numId="36" w16cid:durableId="1317874941">
    <w:abstractNumId w:val="18"/>
  </w:num>
  <w:num w:numId="37" w16cid:durableId="779954319">
    <w:abstractNumId w:val="43"/>
  </w:num>
  <w:num w:numId="38" w16cid:durableId="766736009">
    <w:abstractNumId w:val="41"/>
  </w:num>
  <w:num w:numId="39" w16cid:durableId="795684791">
    <w:abstractNumId w:val="36"/>
  </w:num>
  <w:num w:numId="40" w16cid:durableId="1188448135">
    <w:abstractNumId w:val="19"/>
  </w:num>
  <w:num w:numId="41" w16cid:durableId="1511678082">
    <w:abstractNumId w:val="3"/>
  </w:num>
  <w:num w:numId="42" w16cid:durableId="636184742">
    <w:abstractNumId w:val="21"/>
  </w:num>
  <w:num w:numId="43" w16cid:durableId="1982075296">
    <w:abstractNumId w:val="24"/>
  </w:num>
  <w:num w:numId="44" w16cid:durableId="544374603">
    <w:abstractNumId w:val="2"/>
  </w:num>
  <w:num w:numId="45" w16cid:durableId="10853717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563"/>
    <w:rsid w:val="000426F0"/>
    <w:rsid w:val="00042C3C"/>
    <w:rsid w:val="000437EB"/>
    <w:rsid w:val="00043B44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FF"/>
    <w:rsid w:val="00070B33"/>
    <w:rsid w:val="00071025"/>
    <w:rsid w:val="00072854"/>
    <w:rsid w:val="00075649"/>
    <w:rsid w:val="000761B0"/>
    <w:rsid w:val="00076275"/>
    <w:rsid w:val="0007798C"/>
    <w:rsid w:val="000803D7"/>
    <w:rsid w:val="00081395"/>
    <w:rsid w:val="000832F8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2FEC"/>
    <w:rsid w:val="00103974"/>
    <w:rsid w:val="00104E51"/>
    <w:rsid w:val="00104E7B"/>
    <w:rsid w:val="00104ED9"/>
    <w:rsid w:val="0010501F"/>
    <w:rsid w:val="00107864"/>
    <w:rsid w:val="00107B69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1234"/>
    <w:rsid w:val="001423EA"/>
    <w:rsid w:val="00142A56"/>
    <w:rsid w:val="00143BD2"/>
    <w:rsid w:val="00143C5F"/>
    <w:rsid w:val="0014582B"/>
    <w:rsid w:val="00145848"/>
    <w:rsid w:val="00145864"/>
    <w:rsid w:val="00146D33"/>
    <w:rsid w:val="001470EE"/>
    <w:rsid w:val="001475AB"/>
    <w:rsid w:val="0014766B"/>
    <w:rsid w:val="00147F83"/>
    <w:rsid w:val="00151B89"/>
    <w:rsid w:val="0015220A"/>
    <w:rsid w:val="00153AF2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20149A"/>
    <w:rsid w:val="00201658"/>
    <w:rsid w:val="0020189D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44CD"/>
    <w:rsid w:val="00224D48"/>
    <w:rsid w:val="00224DA2"/>
    <w:rsid w:val="00224F92"/>
    <w:rsid w:val="002250A8"/>
    <w:rsid w:val="0022553B"/>
    <w:rsid w:val="00226143"/>
    <w:rsid w:val="00226B12"/>
    <w:rsid w:val="00226F08"/>
    <w:rsid w:val="002272AE"/>
    <w:rsid w:val="00227908"/>
    <w:rsid w:val="0023034C"/>
    <w:rsid w:val="00230520"/>
    <w:rsid w:val="0023073B"/>
    <w:rsid w:val="002309DB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6352"/>
    <w:rsid w:val="00266B21"/>
    <w:rsid w:val="0027009D"/>
    <w:rsid w:val="0027266A"/>
    <w:rsid w:val="00272745"/>
    <w:rsid w:val="0027341F"/>
    <w:rsid w:val="0027383C"/>
    <w:rsid w:val="0027475C"/>
    <w:rsid w:val="0027675E"/>
    <w:rsid w:val="00276FD0"/>
    <w:rsid w:val="002774B9"/>
    <w:rsid w:val="00277CF0"/>
    <w:rsid w:val="0028076C"/>
    <w:rsid w:val="0028239D"/>
    <w:rsid w:val="00282D74"/>
    <w:rsid w:val="0028398F"/>
    <w:rsid w:val="002845CB"/>
    <w:rsid w:val="00284895"/>
    <w:rsid w:val="00284C40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806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C62"/>
    <w:rsid w:val="002A3DDC"/>
    <w:rsid w:val="002A49AE"/>
    <w:rsid w:val="002A6DF7"/>
    <w:rsid w:val="002A7D8C"/>
    <w:rsid w:val="002A7D91"/>
    <w:rsid w:val="002B0671"/>
    <w:rsid w:val="002B07F4"/>
    <w:rsid w:val="002B252A"/>
    <w:rsid w:val="002B2A7A"/>
    <w:rsid w:val="002B325A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45A"/>
    <w:rsid w:val="00312792"/>
    <w:rsid w:val="00313162"/>
    <w:rsid w:val="00313746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27EAF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6E6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4FEE"/>
    <w:rsid w:val="003C5664"/>
    <w:rsid w:val="003C693C"/>
    <w:rsid w:val="003C73EE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083D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E"/>
    <w:rsid w:val="00404A80"/>
    <w:rsid w:val="00404DC6"/>
    <w:rsid w:val="0040524D"/>
    <w:rsid w:val="00407097"/>
    <w:rsid w:val="00407B3B"/>
    <w:rsid w:val="00407F8D"/>
    <w:rsid w:val="00411F87"/>
    <w:rsid w:val="00412A5E"/>
    <w:rsid w:val="00413DD3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7401"/>
    <w:rsid w:val="00427AEC"/>
    <w:rsid w:val="00430347"/>
    <w:rsid w:val="00430C48"/>
    <w:rsid w:val="00430CDF"/>
    <w:rsid w:val="00430F9F"/>
    <w:rsid w:val="00431A62"/>
    <w:rsid w:val="00431E79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DE8"/>
    <w:rsid w:val="004456B1"/>
    <w:rsid w:val="0044691F"/>
    <w:rsid w:val="00446E3C"/>
    <w:rsid w:val="00447327"/>
    <w:rsid w:val="004475A6"/>
    <w:rsid w:val="004504E3"/>
    <w:rsid w:val="00452512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4B60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684E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4C5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5DA"/>
    <w:rsid w:val="00516EF2"/>
    <w:rsid w:val="005179CE"/>
    <w:rsid w:val="005217C4"/>
    <w:rsid w:val="00521FBB"/>
    <w:rsid w:val="005222D9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344"/>
    <w:rsid w:val="005B3B2B"/>
    <w:rsid w:val="005B4627"/>
    <w:rsid w:val="005B474F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274D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796E"/>
    <w:rsid w:val="00657EF7"/>
    <w:rsid w:val="006607A1"/>
    <w:rsid w:val="006611E3"/>
    <w:rsid w:val="00662744"/>
    <w:rsid w:val="00662A78"/>
    <w:rsid w:val="0066409C"/>
    <w:rsid w:val="006644E2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6354"/>
    <w:rsid w:val="00686C65"/>
    <w:rsid w:val="0069019A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52A"/>
    <w:rsid w:val="006B7898"/>
    <w:rsid w:val="006C0077"/>
    <w:rsid w:val="006C0956"/>
    <w:rsid w:val="006C0FD3"/>
    <w:rsid w:val="006C190B"/>
    <w:rsid w:val="006C3AF0"/>
    <w:rsid w:val="006C4807"/>
    <w:rsid w:val="006C49AE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3C1C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683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5AE4"/>
    <w:rsid w:val="00746F1D"/>
    <w:rsid w:val="00746FDF"/>
    <w:rsid w:val="00750259"/>
    <w:rsid w:val="0075090B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D06"/>
    <w:rsid w:val="00761E77"/>
    <w:rsid w:val="00762249"/>
    <w:rsid w:val="00762AE0"/>
    <w:rsid w:val="00763419"/>
    <w:rsid w:val="00763F88"/>
    <w:rsid w:val="00763FEE"/>
    <w:rsid w:val="00764507"/>
    <w:rsid w:val="0076598D"/>
    <w:rsid w:val="00765B44"/>
    <w:rsid w:val="00765FA2"/>
    <w:rsid w:val="00766F10"/>
    <w:rsid w:val="007673B3"/>
    <w:rsid w:val="007677AC"/>
    <w:rsid w:val="00767CAA"/>
    <w:rsid w:val="00770C24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5236"/>
    <w:rsid w:val="007B5E0C"/>
    <w:rsid w:val="007B6A20"/>
    <w:rsid w:val="007C0116"/>
    <w:rsid w:val="007C02BD"/>
    <w:rsid w:val="007C02C2"/>
    <w:rsid w:val="007C06A4"/>
    <w:rsid w:val="007C0DD8"/>
    <w:rsid w:val="007C3BEB"/>
    <w:rsid w:val="007C4127"/>
    <w:rsid w:val="007C542C"/>
    <w:rsid w:val="007C682A"/>
    <w:rsid w:val="007D0372"/>
    <w:rsid w:val="007D0D5D"/>
    <w:rsid w:val="007D1EE2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A89"/>
    <w:rsid w:val="007D7E13"/>
    <w:rsid w:val="007E0237"/>
    <w:rsid w:val="007E10A3"/>
    <w:rsid w:val="007E11A0"/>
    <w:rsid w:val="007E1EE2"/>
    <w:rsid w:val="007E47E4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414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7F8"/>
    <w:rsid w:val="0087692A"/>
    <w:rsid w:val="00877188"/>
    <w:rsid w:val="0088144F"/>
    <w:rsid w:val="0088301A"/>
    <w:rsid w:val="008830F9"/>
    <w:rsid w:val="00885441"/>
    <w:rsid w:val="0088557E"/>
    <w:rsid w:val="00890CE0"/>
    <w:rsid w:val="008912C6"/>
    <w:rsid w:val="008913BC"/>
    <w:rsid w:val="008914ED"/>
    <w:rsid w:val="00892CAE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305"/>
    <w:rsid w:val="008A453B"/>
    <w:rsid w:val="008A4F3F"/>
    <w:rsid w:val="008A54BB"/>
    <w:rsid w:val="008A577B"/>
    <w:rsid w:val="008A5EF1"/>
    <w:rsid w:val="008A6F1B"/>
    <w:rsid w:val="008B183D"/>
    <w:rsid w:val="008B2715"/>
    <w:rsid w:val="008B2DE7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447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0B54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427"/>
    <w:rsid w:val="00917E05"/>
    <w:rsid w:val="0092019D"/>
    <w:rsid w:val="00920C73"/>
    <w:rsid w:val="00921816"/>
    <w:rsid w:val="00923095"/>
    <w:rsid w:val="009233BA"/>
    <w:rsid w:val="009238B2"/>
    <w:rsid w:val="00924B9C"/>
    <w:rsid w:val="00924D1F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74BC"/>
    <w:rsid w:val="00950B57"/>
    <w:rsid w:val="009517FF"/>
    <w:rsid w:val="00952CAA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36F7"/>
    <w:rsid w:val="00964B8A"/>
    <w:rsid w:val="009655AF"/>
    <w:rsid w:val="0096624F"/>
    <w:rsid w:val="00966B4E"/>
    <w:rsid w:val="00966BA7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3831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803E3"/>
    <w:rsid w:val="00A81003"/>
    <w:rsid w:val="00A8102F"/>
    <w:rsid w:val="00A81132"/>
    <w:rsid w:val="00A82146"/>
    <w:rsid w:val="00A822D2"/>
    <w:rsid w:val="00A8317F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F34"/>
    <w:rsid w:val="00AA550D"/>
    <w:rsid w:val="00AA569E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32DA"/>
    <w:rsid w:val="00AF32EE"/>
    <w:rsid w:val="00AF3E66"/>
    <w:rsid w:val="00AF4213"/>
    <w:rsid w:val="00AF47D3"/>
    <w:rsid w:val="00AF6D58"/>
    <w:rsid w:val="00AF76EF"/>
    <w:rsid w:val="00AF7F30"/>
    <w:rsid w:val="00B00B92"/>
    <w:rsid w:val="00B00CC2"/>
    <w:rsid w:val="00B01009"/>
    <w:rsid w:val="00B02058"/>
    <w:rsid w:val="00B0228A"/>
    <w:rsid w:val="00B049A2"/>
    <w:rsid w:val="00B05031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20551"/>
    <w:rsid w:val="00B20638"/>
    <w:rsid w:val="00B21AEB"/>
    <w:rsid w:val="00B220D2"/>
    <w:rsid w:val="00B2266D"/>
    <w:rsid w:val="00B237FC"/>
    <w:rsid w:val="00B241FD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891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31F2"/>
    <w:rsid w:val="00BB40C1"/>
    <w:rsid w:val="00BB467A"/>
    <w:rsid w:val="00BB5B6D"/>
    <w:rsid w:val="00BB6C81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42BF"/>
    <w:rsid w:val="00BF57D4"/>
    <w:rsid w:val="00BF5CCB"/>
    <w:rsid w:val="00BF60DB"/>
    <w:rsid w:val="00BF6E99"/>
    <w:rsid w:val="00C013BC"/>
    <w:rsid w:val="00C01E6C"/>
    <w:rsid w:val="00C02AB1"/>
    <w:rsid w:val="00C02B35"/>
    <w:rsid w:val="00C05E82"/>
    <w:rsid w:val="00C10C6F"/>
    <w:rsid w:val="00C11CA3"/>
    <w:rsid w:val="00C11FBC"/>
    <w:rsid w:val="00C13816"/>
    <w:rsid w:val="00C13BBB"/>
    <w:rsid w:val="00C14A2B"/>
    <w:rsid w:val="00C15BAB"/>
    <w:rsid w:val="00C1648D"/>
    <w:rsid w:val="00C16788"/>
    <w:rsid w:val="00C171C2"/>
    <w:rsid w:val="00C1794F"/>
    <w:rsid w:val="00C2050D"/>
    <w:rsid w:val="00C20EE6"/>
    <w:rsid w:val="00C22FF2"/>
    <w:rsid w:val="00C23594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14A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2B4A"/>
    <w:rsid w:val="00C6354D"/>
    <w:rsid w:val="00C638D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3B8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3D5"/>
    <w:rsid w:val="00CF4658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1B05"/>
    <w:rsid w:val="00D21B50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09B0"/>
    <w:rsid w:val="00D913AC"/>
    <w:rsid w:val="00D91DFB"/>
    <w:rsid w:val="00D93BDE"/>
    <w:rsid w:val="00D95431"/>
    <w:rsid w:val="00D95625"/>
    <w:rsid w:val="00D962CC"/>
    <w:rsid w:val="00D979E5"/>
    <w:rsid w:val="00DA05A2"/>
    <w:rsid w:val="00DA238C"/>
    <w:rsid w:val="00DA33EA"/>
    <w:rsid w:val="00DA3C61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035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E027F9"/>
    <w:rsid w:val="00E02B53"/>
    <w:rsid w:val="00E03AB7"/>
    <w:rsid w:val="00E03B0D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5A1"/>
    <w:rsid w:val="00E25815"/>
    <w:rsid w:val="00E25BC2"/>
    <w:rsid w:val="00E26FF3"/>
    <w:rsid w:val="00E2763C"/>
    <w:rsid w:val="00E30492"/>
    <w:rsid w:val="00E31B5D"/>
    <w:rsid w:val="00E31E32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37E2D"/>
    <w:rsid w:val="00E401A0"/>
    <w:rsid w:val="00E4050A"/>
    <w:rsid w:val="00E41209"/>
    <w:rsid w:val="00E41473"/>
    <w:rsid w:val="00E42199"/>
    <w:rsid w:val="00E4350F"/>
    <w:rsid w:val="00E44A8E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3AA9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2D13"/>
    <w:rsid w:val="00E93C02"/>
    <w:rsid w:val="00E94B62"/>
    <w:rsid w:val="00E94FB0"/>
    <w:rsid w:val="00E95006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7145"/>
    <w:rsid w:val="00ED76F0"/>
    <w:rsid w:val="00ED780E"/>
    <w:rsid w:val="00ED7DF1"/>
    <w:rsid w:val="00EE0A64"/>
    <w:rsid w:val="00EE0B7C"/>
    <w:rsid w:val="00EE0D68"/>
    <w:rsid w:val="00EE2509"/>
    <w:rsid w:val="00EE2553"/>
    <w:rsid w:val="00EE288D"/>
    <w:rsid w:val="00EE2AE1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1FE4"/>
    <w:rsid w:val="00F02CA5"/>
    <w:rsid w:val="00F030DF"/>
    <w:rsid w:val="00F0328B"/>
    <w:rsid w:val="00F041EC"/>
    <w:rsid w:val="00F047DE"/>
    <w:rsid w:val="00F0634C"/>
    <w:rsid w:val="00F068C6"/>
    <w:rsid w:val="00F0755F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C1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3309"/>
    <w:rsid w:val="00F53CFE"/>
    <w:rsid w:val="00F54600"/>
    <w:rsid w:val="00F54DFB"/>
    <w:rsid w:val="00F55672"/>
    <w:rsid w:val="00F56A31"/>
    <w:rsid w:val="00F57E91"/>
    <w:rsid w:val="00F605ED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A54"/>
    <w:rsid w:val="00F86DFB"/>
    <w:rsid w:val="00F90566"/>
    <w:rsid w:val="00F90692"/>
    <w:rsid w:val="00F90F7B"/>
    <w:rsid w:val="00F9187E"/>
    <w:rsid w:val="00F91996"/>
    <w:rsid w:val="00F91E4A"/>
    <w:rsid w:val="00F92E72"/>
    <w:rsid w:val="00F93ABA"/>
    <w:rsid w:val="00F93E21"/>
    <w:rsid w:val="00F94481"/>
    <w:rsid w:val="00F95554"/>
    <w:rsid w:val="00F966B5"/>
    <w:rsid w:val="00F96B38"/>
    <w:rsid w:val="00F97BE7"/>
    <w:rsid w:val="00FA051C"/>
    <w:rsid w:val="00FA08B4"/>
    <w:rsid w:val="00FA0E83"/>
    <w:rsid w:val="00FA3476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02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2800</Words>
  <Characters>15960</Characters>
  <Application>Microsoft Office Word</Application>
  <DocSecurity>0</DocSecurity>
  <Lines>133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LUBO NAGY</cp:lastModifiedBy>
  <cp:revision>6</cp:revision>
  <cp:lastPrinted>2024-10-04T15:54:00Z</cp:lastPrinted>
  <dcterms:created xsi:type="dcterms:W3CDTF">2024-11-29T07:52:00Z</dcterms:created>
  <dcterms:modified xsi:type="dcterms:W3CDTF">2024-11-29T07:56:00Z</dcterms:modified>
</cp:coreProperties>
</file>